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BD7EA4" w:rsidP="00C62CA0">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6</w:t>
            </w:r>
            <w:r w:rsidR="00C62CA0">
              <w:rPr>
                <w:rFonts w:ascii="Bookman Old Style" w:eastAsia="Times New Roman" w:hAnsi="Bookman Old Style" w:cs="Times New Roman"/>
                <w:color w:val="000000"/>
                <w:sz w:val="16"/>
                <w:szCs w:val="16"/>
                <w:lang w:eastAsia="pl-PL"/>
              </w:rPr>
              <w:t>/2021/G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6258F5"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6258F5"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6258F5"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6258F5"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6258F5"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6258F5"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6258F5"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6258F5"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6258F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6258F5"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6258F5"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9F2514">
        <w:trPr>
          <w:trHeight w:val="399"/>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D24A7A">
        <w:trPr>
          <w:trHeight w:val="405"/>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D8333A">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D8333A">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AD6218">
        <w:trPr>
          <w:trHeight w:val="388"/>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D55607" w:rsidRDefault="00D55607" w:rsidP="00D55607">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D24A7A">
        <w:trPr>
          <w:trHeight w:val="53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F2514">
        <w:trPr>
          <w:trHeight w:val="126"/>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FF7B7D">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FF7B7D">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w:t>
            </w:r>
            <w:r w:rsidR="00D55607">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AD621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AD621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6</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w:t>
            </w:r>
            <w:r w:rsidR="00DD61D1">
              <w:rPr>
                <w:rFonts w:ascii="Bookman Old Style" w:hAnsi="Bookman Old Style"/>
                <w:sz w:val="16"/>
                <w:szCs w:val="16"/>
              </w:rPr>
              <w:t>iaru: umowa z animatorem</w:t>
            </w:r>
            <w:r w:rsidRPr="00B13479">
              <w:rPr>
                <w:rFonts w:ascii="Bookman Old Style" w:hAnsi="Bookman Old Style"/>
                <w:sz w:val="16"/>
                <w:szCs w:val="16"/>
              </w:rPr>
              <w:t>, protokół z działalności animatora;</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sidR="00276B81">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6258F5"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6258F5"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6258F5"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6258F5"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6258F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6258F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6258F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6258F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6258F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6258F5"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6258F5"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6258F5">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6258F5">
              <w:rPr>
                <w:rFonts w:ascii="Bookman Old Style" w:eastAsia="Times New Roman" w:hAnsi="Bookman Old Style" w:cs="Times New Roman"/>
                <w:color w:val="000000"/>
                <w:lang w:eastAsia="pl-PL"/>
              </w:rPr>
            </w:r>
            <w:r w:rsidR="006258F5">
              <w:rPr>
                <w:rFonts w:ascii="Bookman Old Style" w:eastAsia="Times New Roman" w:hAnsi="Bookman Old Style" w:cs="Times New Roman"/>
                <w:color w:val="000000"/>
                <w:lang w:eastAsia="pl-PL"/>
              </w:rPr>
              <w:fldChar w:fldCharType="separate"/>
            </w:r>
            <w:r w:rsidR="006258F5">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6258F5">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6258F5">
              <w:rPr>
                <w:rFonts w:ascii="Bookman Old Style" w:eastAsia="Times New Roman" w:hAnsi="Bookman Old Style" w:cs="Times New Roman"/>
                <w:color w:val="000000"/>
                <w:lang w:eastAsia="pl-PL"/>
              </w:rPr>
            </w:r>
            <w:r w:rsidR="006258F5">
              <w:rPr>
                <w:rFonts w:ascii="Bookman Old Style" w:eastAsia="Times New Roman" w:hAnsi="Bookman Old Style" w:cs="Times New Roman"/>
                <w:color w:val="000000"/>
                <w:lang w:eastAsia="pl-PL"/>
              </w:rPr>
              <w:fldChar w:fldCharType="separate"/>
            </w:r>
            <w:r w:rsidR="006258F5">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6258F5"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41985"/>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E52E1"/>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258F5"/>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2E59"/>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2ACE"/>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C7D7A"/>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71C"/>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2514"/>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6218"/>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45C8"/>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D7EA4"/>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2CA0"/>
    <w:rsid w:val="00C63689"/>
    <w:rsid w:val="00C652BE"/>
    <w:rsid w:val="00C67AEB"/>
    <w:rsid w:val="00C702E1"/>
    <w:rsid w:val="00C71121"/>
    <w:rsid w:val="00C72B97"/>
    <w:rsid w:val="00C77882"/>
    <w:rsid w:val="00C80B36"/>
    <w:rsid w:val="00C83206"/>
    <w:rsid w:val="00C83ECD"/>
    <w:rsid w:val="00C845D9"/>
    <w:rsid w:val="00C92229"/>
    <w:rsid w:val="00C932C9"/>
    <w:rsid w:val="00C94FF8"/>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4A7A"/>
    <w:rsid w:val="00D27B91"/>
    <w:rsid w:val="00D3309E"/>
    <w:rsid w:val="00D36126"/>
    <w:rsid w:val="00D36DDA"/>
    <w:rsid w:val="00D378B4"/>
    <w:rsid w:val="00D37D33"/>
    <w:rsid w:val="00D4229E"/>
    <w:rsid w:val="00D425D9"/>
    <w:rsid w:val="00D42D9D"/>
    <w:rsid w:val="00D43EE8"/>
    <w:rsid w:val="00D46F45"/>
    <w:rsid w:val="00D51F31"/>
    <w:rsid w:val="00D5410D"/>
    <w:rsid w:val="00D55607"/>
    <w:rsid w:val="00D57A14"/>
    <w:rsid w:val="00D616A1"/>
    <w:rsid w:val="00D66355"/>
    <w:rsid w:val="00D67D91"/>
    <w:rsid w:val="00D707BD"/>
    <w:rsid w:val="00D70DBD"/>
    <w:rsid w:val="00D7250E"/>
    <w:rsid w:val="00D73996"/>
    <w:rsid w:val="00D75930"/>
    <w:rsid w:val="00D75FC5"/>
    <w:rsid w:val="00D80A36"/>
    <w:rsid w:val="00D828E5"/>
    <w:rsid w:val="00D8333A"/>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D61D1"/>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 w:val="00FF7B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87C3-DC12-41F0-9281-CB890111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29</Pages>
  <Words>5265</Words>
  <Characters>31595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155</cp:revision>
  <cp:lastPrinted>2017-05-25T11:00:00Z</cp:lastPrinted>
  <dcterms:created xsi:type="dcterms:W3CDTF">2017-07-17T14:10:00Z</dcterms:created>
  <dcterms:modified xsi:type="dcterms:W3CDTF">2021-09-27T10:16:00Z</dcterms:modified>
</cp:coreProperties>
</file>