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9A9" w:rsidRDefault="00F24A1D" w:rsidP="001E49A9">
      <w:pPr>
        <w:pStyle w:val="Podtytu"/>
        <w:jc w:val="right"/>
        <w:rPr>
          <w:rStyle w:val="Uwydatnienie"/>
          <w:rFonts w:asciiTheme="minorHAnsi" w:hAnsiTheme="minorHAnsi" w:cstheme="minorHAnsi"/>
          <w:i w:val="0"/>
          <w:sz w:val="20"/>
          <w:szCs w:val="20"/>
        </w:rPr>
      </w:pPr>
      <w:r w:rsidRPr="00951709">
        <w:rPr>
          <w:rStyle w:val="Uwydatnienie"/>
          <w:rFonts w:asciiTheme="minorHAnsi" w:hAnsiTheme="minorHAnsi" w:cstheme="minorHAnsi"/>
          <w:i w:val="0"/>
          <w:sz w:val="20"/>
          <w:szCs w:val="20"/>
          <w:highlight w:val="yellow"/>
        </w:rPr>
        <w:t>-projekt-</w:t>
      </w:r>
    </w:p>
    <w:p w:rsidR="00F24A1D" w:rsidRPr="00F24A1D" w:rsidRDefault="00F24A1D" w:rsidP="00F24A1D">
      <w:pPr>
        <w:rPr>
          <w:lang w:eastAsia="pl-PL" w:bidi="pl-PL"/>
        </w:rPr>
      </w:pPr>
    </w:p>
    <w:p w:rsidR="001E49A9" w:rsidRDefault="001E49A9" w:rsidP="0009772E">
      <w:pPr>
        <w:jc w:val="right"/>
      </w:pP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0621AC">
          <w:pPr>
            <w:pStyle w:val="Spistreci1"/>
            <w:tabs>
              <w:tab w:val="right" w:leader="dot" w:pos="10194"/>
            </w:tabs>
            <w:rPr>
              <w:rFonts w:eastAsiaTheme="minorEastAsia"/>
              <w:noProof/>
              <w:sz w:val="22"/>
              <w:lang w:eastAsia="pl-PL"/>
            </w:rPr>
          </w:pPr>
          <w:r w:rsidRPr="000621AC">
            <w:rPr>
              <w:sz w:val="22"/>
            </w:rPr>
            <w:fldChar w:fldCharType="begin"/>
          </w:r>
          <w:r w:rsidR="006D5887" w:rsidRPr="006D6CC1">
            <w:rPr>
              <w:sz w:val="22"/>
            </w:rPr>
            <w:instrText xml:space="preserve"> TOC \o "1-3" \h \z \u </w:instrText>
          </w:r>
          <w:r w:rsidRPr="000621AC">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B621E4">
              <w:rPr>
                <w:noProof/>
                <w:webHidden/>
                <w:sz w:val="22"/>
              </w:rPr>
              <w:t>5</w:t>
            </w:r>
            <w:r w:rsidRPr="006D6CC1">
              <w:rPr>
                <w:noProof/>
                <w:webHidden/>
                <w:sz w:val="22"/>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0621AC">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0621AC">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B621E4">
              <w:rPr>
                <w:noProof/>
                <w:webHidden/>
              </w:rPr>
              <w:t>9</w:t>
            </w:r>
            <w:r w:rsidRPr="006D6CC1">
              <w:rPr>
                <w:noProof/>
                <w:webHidden/>
              </w:rPr>
              <w:fldChar w:fldCharType="end"/>
            </w:r>
          </w:hyperlink>
        </w:p>
        <w:p w:rsidR="006D6CC1" w:rsidRPr="006D6CC1" w:rsidRDefault="000621AC">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B621E4">
              <w:rPr>
                <w:noProof/>
                <w:webHidden/>
              </w:rPr>
              <w:t>11</w:t>
            </w:r>
            <w:r w:rsidRPr="006D6CC1">
              <w:rPr>
                <w:noProof/>
                <w:webHidden/>
              </w:rPr>
              <w:fldChar w:fldCharType="end"/>
            </w:r>
          </w:hyperlink>
        </w:p>
        <w:p w:rsidR="006D6CC1" w:rsidRPr="006D6CC1" w:rsidRDefault="000621AC">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B621E4">
              <w:rPr>
                <w:noProof/>
                <w:webHidden/>
              </w:rPr>
              <w:t>12</w:t>
            </w:r>
            <w:r w:rsidRPr="006D6CC1">
              <w:rPr>
                <w:noProof/>
                <w:webHidden/>
              </w:rPr>
              <w:fldChar w:fldCharType="end"/>
            </w:r>
          </w:hyperlink>
        </w:p>
        <w:p w:rsidR="006D6CC1" w:rsidRPr="006D6CC1" w:rsidRDefault="000621AC">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B621E4">
              <w:rPr>
                <w:noProof/>
                <w:webHidden/>
              </w:rPr>
              <w:t>16</w:t>
            </w:r>
            <w:r w:rsidRPr="006D6CC1">
              <w:rPr>
                <w:noProof/>
                <w:webHidden/>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B621E4">
              <w:rPr>
                <w:noProof/>
                <w:webHidden/>
                <w:sz w:val="22"/>
              </w:rPr>
              <w:t>17</w:t>
            </w:r>
            <w:r w:rsidRPr="006D6CC1">
              <w:rPr>
                <w:noProof/>
                <w:webHidden/>
                <w:sz w:val="22"/>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B621E4">
              <w:rPr>
                <w:noProof/>
                <w:webHidden/>
                <w:sz w:val="22"/>
              </w:rPr>
              <w:t>18</w:t>
            </w:r>
            <w:r w:rsidRPr="006D6CC1">
              <w:rPr>
                <w:noProof/>
                <w:webHidden/>
                <w:sz w:val="22"/>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B621E4">
              <w:rPr>
                <w:noProof/>
                <w:webHidden/>
              </w:rPr>
              <w:t>18</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B621E4">
              <w:rPr>
                <w:noProof/>
                <w:webHidden/>
              </w:rPr>
              <w:t>21</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B621E4">
              <w:rPr>
                <w:noProof/>
                <w:webHidden/>
              </w:rPr>
              <w:t>23</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B621E4">
              <w:rPr>
                <w:noProof/>
                <w:webHidden/>
              </w:rPr>
              <w:t>27</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B621E4">
              <w:rPr>
                <w:noProof/>
                <w:webHidden/>
              </w:rPr>
              <w:t>29</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B621E4">
              <w:rPr>
                <w:noProof/>
                <w:webHidden/>
              </w:rPr>
              <w:t>30</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B621E4">
              <w:rPr>
                <w:noProof/>
                <w:webHidden/>
              </w:rPr>
              <w:t>31</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B621E4">
              <w:rPr>
                <w:noProof/>
                <w:webHidden/>
              </w:rPr>
              <w:t>34</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B621E4">
              <w:rPr>
                <w:noProof/>
                <w:webHidden/>
              </w:rPr>
              <w:t>35</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B621E4">
              <w:rPr>
                <w:noProof/>
                <w:webHidden/>
              </w:rPr>
              <w:t>38</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B621E4">
              <w:rPr>
                <w:noProof/>
                <w:webHidden/>
              </w:rPr>
              <w:t>40</w:t>
            </w:r>
            <w:r w:rsidRPr="006D6CC1">
              <w:rPr>
                <w:noProof/>
                <w:webHidden/>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B621E4">
              <w:rPr>
                <w:noProof/>
                <w:webHidden/>
                <w:sz w:val="22"/>
              </w:rPr>
              <w:t>40</w:t>
            </w:r>
            <w:r w:rsidRPr="006D6CC1">
              <w:rPr>
                <w:noProof/>
                <w:webHidden/>
                <w:sz w:val="22"/>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B621E4">
              <w:rPr>
                <w:noProof/>
                <w:webHidden/>
                <w:sz w:val="22"/>
              </w:rPr>
              <w:t>43</w:t>
            </w:r>
            <w:r w:rsidRPr="006D6CC1">
              <w:rPr>
                <w:noProof/>
                <w:webHidden/>
                <w:sz w:val="22"/>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B621E4">
              <w:rPr>
                <w:noProof/>
                <w:webHidden/>
              </w:rPr>
              <w:t>43</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B621E4">
              <w:rPr>
                <w:noProof/>
                <w:webHidden/>
              </w:rPr>
              <w:t>52</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B621E4">
              <w:rPr>
                <w:noProof/>
                <w:webHidden/>
              </w:rPr>
              <w:t>62</w:t>
            </w:r>
            <w:r w:rsidRPr="006D6CC1">
              <w:rPr>
                <w:noProof/>
                <w:webHidden/>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B621E4">
              <w:rPr>
                <w:noProof/>
                <w:webHidden/>
                <w:sz w:val="22"/>
              </w:rPr>
              <w:t>66</w:t>
            </w:r>
            <w:r w:rsidRPr="006D6CC1">
              <w:rPr>
                <w:noProof/>
                <w:webHidden/>
                <w:sz w:val="22"/>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0621AC">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0621AC">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B621E4">
              <w:rPr>
                <w:noProof/>
                <w:webHidden/>
              </w:rPr>
              <w:t>70</w:t>
            </w:r>
            <w:r w:rsidRPr="006D6CC1">
              <w:rPr>
                <w:noProof/>
                <w:webHidden/>
              </w:rPr>
              <w:fldChar w:fldCharType="end"/>
            </w:r>
          </w:hyperlink>
        </w:p>
        <w:p w:rsidR="006D6CC1" w:rsidRPr="006D6CC1" w:rsidRDefault="000621AC">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B621E4">
              <w:rPr>
                <w:noProof/>
                <w:webHidden/>
              </w:rPr>
              <w:t>72</w:t>
            </w:r>
            <w:r w:rsidRPr="006D6CC1">
              <w:rPr>
                <w:noProof/>
                <w:webHidden/>
              </w:rPr>
              <w:fldChar w:fldCharType="end"/>
            </w:r>
          </w:hyperlink>
        </w:p>
        <w:p w:rsidR="006D6CC1" w:rsidRPr="006D6CC1" w:rsidRDefault="000621AC">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B621E4">
              <w:rPr>
                <w:noProof/>
                <w:webHidden/>
              </w:rPr>
              <w:t>73</w:t>
            </w:r>
            <w:r w:rsidRPr="006D6CC1">
              <w:rPr>
                <w:noProof/>
                <w:webHidden/>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B621E4">
              <w:rPr>
                <w:noProof/>
                <w:webHidden/>
                <w:sz w:val="22"/>
              </w:rPr>
              <w:t>75</w:t>
            </w:r>
            <w:r w:rsidRPr="006D6CC1">
              <w:rPr>
                <w:noProof/>
                <w:webHidden/>
                <w:sz w:val="22"/>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B621E4">
              <w:rPr>
                <w:noProof/>
                <w:webHidden/>
                <w:sz w:val="22"/>
              </w:rPr>
              <w:t>80</w:t>
            </w:r>
            <w:r w:rsidRPr="006D6CC1">
              <w:rPr>
                <w:noProof/>
                <w:webHidden/>
                <w:sz w:val="22"/>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B621E4">
              <w:rPr>
                <w:noProof/>
                <w:webHidden/>
              </w:rPr>
              <w:t>80</w:t>
            </w:r>
            <w:r w:rsidRPr="006D6CC1">
              <w:rPr>
                <w:noProof/>
                <w:webHidden/>
              </w:rPr>
              <w:fldChar w:fldCharType="end"/>
            </w:r>
          </w:hyperlink>
        </w:p>
        <w:p w:rsidR="006D6CC1" w:rsidRPr="006D6CC1" w:rsidRDefault="000621AC">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B621E4">
              <w:rPr>
                <w:noProof/>
                <w:webHidden/>
              </w:rPr>
              <w:t>88</w:t>
            </w:r>
            <w:r w:rsidRPr="006D6CC1">
              <w:rPr>
                <w:noProof/>
                <w:webHidden/>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B621E4">
              <w:rPr>
                <w:noProof/>
                <w:webHidden/>
                <w:sz w:val="22"/>
              </w:rPr>
              <w:t>89</w:t>
            </w:r>
            <w:r w:rsidRPr="006D6CC1">
              <w:rPr>
                <w:noProof/>
                <w:webHidden/>
                <w:sz w:val="22"/>
              </w:rPr>
              <w:fldChar w:fldCharType="end"/>
            </w:r>
          </w:hyperlink>
        </w:p>
        <w:p w:rsidR="006D6CC1" w:rsidRPr="006D6CC1" w:rsidRDefault="000621AC">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B621E4">
              <w:rPr>
                <w:noProof/>
                <w:webHidden/>
                <w:sz w:val="22"/>
              </w:rPr>
              <w:t>90</w:t>
            </w:r>
            <w:r w:rsidRPr="006D6CC1">
              <w:rPr>
                <w:noProof/>
                <w:webHidden/>
                <w:sz w:val="22"/>
              </w:rPr>
              <w:fldChar w:fldCharType="end"/>
            </w:r>
          </w:hyperlink>
        </w:p>
        <w:p w:rsidR="008212A3" w:rsidRDefault="000621AC">
          <w:pPr>
            <w:rPr>
              <w:b/>
              <w:bCs/>
            </w:rPr>
          </w:pPr>
          <w:r w:rsidRPr="006D6CC1">
            <w:rPr>
              <w:b/>
              <w:bCs/>
            </w:rPr>
            <w:fldChar w:fldCharType="end"/>
          </w:r>
        </w:p>
        <w:p w:rsidR="006D5887" w:rsidRPr="006D6CC1" w:rsidRDefault="000621AC"/>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0621AC"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B621E4">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0621AC" w:rsidRPr="00DC0ABE">
        <w:fldChar w:fldCharType="begin"/>
      </w:r>
      <w:r w:rsidRPr="00DC0ABE">
        <w:instrText xml:space="preserve"> PAGEREF _Toc439086486 \h </w:instrText>
      </w:r>
      <w:r w:rsidR="000621AC" w:rsidRPr="00DC0ABE">
        <w:fldChar w:fldCharType="separate"/>
      </w:r>
      <w:r w:rsidR="00B621E4">
        <w:t>6</w:t>
      </w:r>
      <w:r w:rsidR="000621AC"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0621AC" w:rsidRPr="00DC0ABE">
        <w:fldChar w:fldCharType="begin"/>
      </w:r>
      <w:r w:rsidRPr="00DC0ABE">
        <w:instrText xml:space="preserve"> PAGEREF _Toc439086487 \h </w:instrText>
      </w:r>
      <w:r w:rsidR="000621AC" w:rsidRPr="00DC0ABE">
        <w:fldChar w:fldCharType="separate"/>
      </w:r>
      <w:r w:rsidR="00B621E4">
        <w:t>7</w:t>
      </w:r>
      <w:r w:rsidR="000621AC"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0621AC" w:rsidRPr="00DC0ABE">
        <w:fldChar w:fldCharType="begin"/>
      </w:r>
      <w:r w:rsidRPr="00DC0ABE">
        <w:instrText xml:space="preserve"> PAGEREF _Toc439086488 \h </w:instrText>
      </w:r>
      <w:r w:rsidR="000621AC" w:rsidRPr="00DC0ABE">
        <w:fldChar w:fldCharType="separate"/>
      </w:r>
      <w:r w:rsidR="00B621E4">
        <w:t>9</w:t>
      </w:r>
      <w:r w:rsidR="000621AC"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0621AC" w:rsidRPr="00DC0ABE">
        <w:fldChar w:fldCharType="begin"/>
      </w:r>
      <w:r w:rsidRPr="00DC0ABE">
        <w:instrText xml:space="preserve"> PAGEREF _Toc439086489 \h </w:instrText>
      </w:r>
      <w:r w:rsidR="000621AC" w:rsidRPr="00DC0ABE">
        <w:fldChar w:fldCharType="separate"/>
      </w:r>
      <w:r w:rsidR="00B621E4">
        <w:t>11</w:t>
      </w:r>
      <w:r w:rsidR="000621AC"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0621AC" w:rsidRPr="00DC0ABE">
        <w:fldChar w:fldCharType="begin"/>
      </w:r>
      <w:r w:rsidRPr="00DC0ABE">
        <w:instrText xml:space="preserve"> PAGEREF _Toc439086490 \h </w:instrText>
      </w:r>
      <w:r w:rsidR="000621AC" w:rsidRPr="00DC0ABE">
        <w:fldChar w:fldCharType="separate"/>
      </w:r>
      <w:r w:rsidR="00B621E4">
        <w:t>12</w:t>
      </w:r>
      <w:r w:rsidR="000621AC"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0621AC" w:rsidRPr="00DC0ABE">
        <w:fldChar w:fldCharType="begin"/>
      </w:r>
      <w:r w:rsidRPr="00DC0ABE">
        <w:instrText xml:space="preserve"> PAGEREF _Toc439086491 \h </w:instrText>
      </w:r>
      <w:r w:rsidR="000621AC" w:rsidRPr="00DC0ABE">
        <w:fldChar w:fldCharType="separate"/>
      </w:r>
      <w:r w:rsidR="00B621E4">
        <w:t>13</w:t>
      </w:r>
      <w:r w:rsidR="000621AC"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0621AC" w:rsidRPr="00DC0ABE">
        <w:fldChar w:fldCharType="begin"/>
      </w:r>
      <w:r w:rsidRPr="00DC0ABE">
        <w:instrText xml:space="preserve"> PAGEREF _Toc439086492 \h </w:instrText>
      </w:r>
      <w:r w:rsidR="000621AC" w:rsidRPr="00DC0ABE">
        <w:fldChar w:fldCharType="separate"/>
      </w:r>
      <w:r w:rsidR="00B621E4">
        <w:t>19</w:t>
      </w:r>
      <w:r w:rsidR="000621AC"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0621AC" w:rsidRPr="00DC0ABE">
        <w:fldChar w:fldCharType="begin"/>
      </w:r>
      <w:r w:rsidRPr="00DC0ABE">
        <w:instrText xml:space="preserve"> PAGEREF _Toc439086493 \h </w:instrText>
      </w:r>
      <w:r w:rsidR="000621AC" w:rsidRPr="00DC0ABE">
        <w:fldChar w:fldCharType="separate"/>
      </w:r>
      <w:r w:rsidR="00B621E4">
        <w:t>19</w:t>
      </w:r>
      <w:r w:rsidR="000621AC"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0621AC" w:rsidRPr="00DC0ABE">
        <w:fldChar w:fldCharType="begin"/>
      </w:r>
      <w:r w:rsidRPr="00DC0ABE">
        <w:instrText xml:space="preserve"> PAGEREF _Toc439086494 \h </w:instrText>
      </w:r>
      <w:r w:rsidR="000621AC" w:rsidRPr="00DC0ABE">
        <w:fldChar w:fldCharType="separate"/>
      </w:r>
      <w:r w:rsidR="00B621E4">
        <w:t>20</w:t>
      </w:r>
      <w:r w:rsidR="000621AC"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0621AC" w:rsidRPr="00DC0ABE">
        <w:fldChar w:fldCharType="begin"/>
      </w:r>
      <w:r w:rsidRPr="00DC0ABE">
        <w:instrText xml:space="preserve"> PAGEREF _Toc439086495 \h </w:instrText>
      </w:r>
      <w:r w:rsidR="000621AC" w:rsidRPr="00DC0ABE">
        <w:fldChar w:fldCharType="separate"/>
      </w:r>
      <w:r w:rsidR="00B621E4">
        <w:t>20</w:t>
      </w:r>
      <w:r w:rsidR="000621AC"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0621AC" w:rsidRPr="00DC0ABE">
        <w:fldChar w:fldCharType="begin"/>
      </w:r>
      <w:r w:rsidRPr="00DC0ABE">
        <w:instrText xml:space="preserve"> PAGEREF _Toc439086496 \h </w:instrText>
      </w:r>
      <w:r w:rsidR="000621AC" w:rsidRPr="00DC0ABE">
        <w:fldChar w:fldCharType="separate"/>
      </w:r>
      <w:r w:rsidR="00B621E4">
        <w:t>20</w:t>
      </w:r>
      <w:r w:rsidR="000621AC"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0621AC" w:rsidRPr="00DC0ABE">
        <w:fldChar w:fldCharType="begin"/>
      </w:r>
      <w:r w:rsidRPr="00DC0ABE">
        <w:instrText xml:space="preserve"> PAGEREF _Toc439086497 \h </w:instrText>
      </w:r>
      <w:r w:rsidR="000621AC" w:rsidRPr="00DC0ABE">
        <w:fldChar w:fldCharType="separate"/>
      </w:r>
      <w:r w:rsidR="00B621E4">
        <w:t>21</w:t>
      </w:r>
      <w:r w:rsidR="000621AC"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0621AC" w:rsidRPr="00DC0ABE">
        <w:fldChar w:fldCharType="begin"/>
      </w:r>
      <w:r w:rsidRPr="00DC0ABE">
        <w:instrText xml:space="preserve"> PAGEREF _Toc439086498 \h </w:instrText>
      </w:r>
      <w:r w:rsidR="000621AC" w:rsidRPr="00DC0ABE">
        <w:fldChar w:fldCharType="separate"/>
      </w:r>
      <w:r w:rsidR="00B621E4">
        <w:t>22</w:t>
      </w:r>
      <w:r w:rsidR="000621AC"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0621AC" w:rsidRPr="00DC0ABE">
        <w:fldChar w:fldCharType="begin"/>
      </w:r>
      <w:r w:rsidRPr="00DC0ABE">
        <w:instrText xml:space="preserve"> PAGEREF _Toc439086499 \h </w:instrText>
      </w:r>
      <w:r w:rsidR="000621AC" w:rsidRPr="00DC0ABE">
        <w:fldChar w:fldCharType="separate"/>
      </w:r>
      <w:r w:rsidR="00B621E4">
        <w:t>22</w:t>
      </w:r>
      <w:r w:rsidR="000621AC"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0621AC" w:rsidRPr="00DC0ABE">
        <w:fldChar w:fldCharType="begin"/>
      </w:r>
      <w:r w:rsidRPr="00DC0ABE">
        <w:instrText xml:space="preserve"> PAGEREF _Toc439086500 \h </w:instrText>
      </w:r>
      <w:r w:rsidR="000621AC" w:rsidRPr="00DC0ABE">
        <w:fldChar w:fldCharType="separate"/>
      </w:r>
      <w:r w:rsidR="00B621E4">
        <w:t>22</w:t>
      </w:r>
      <w:r w:rsidR="000621AC"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0621AC" w:rsidRPr="00DC0ABE">
        <w:fldChar w:fldCharType="begin"/>
      </w:r>
      <w:r w:rsidRPr="00DC0ABE">
        <w:instrText xml:space="preserve"> PAGEREF _Toc439086501 \h </w:instrText>
      </w:r>
      <w:r w:rsidR="000621AC" w:rsidRPr="00DC0ABE">
        <w:fldChar w:fldCharType="separate"/>
      </w:r>
      <w:r w:rsidR="00B621E4">
        <w:t>23</w:t>
      </w:r>
      <w:r w:rsidR="000621AC"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0621AC" w:rsidRPr="00DC0ABE">
        <w:fldChar w:fldCharType="begin"/>
      </w:r>
      <w:r w:rsidRPr="00DC0ABE">
        <w:instrText xml:space="preserve"> PAGEREF _Toc439086502 \h </w:instrText>
      </w:r>
      <w:r w:rsidR="000621AC" w:rsidRPr="00DC0ABE">
        <w:fldChar w:fldCharType="separate"/>
      </w:r>
      <w:r w:rsidR="00B621E4">
        <w:t>24</w:t>
      </w:r>
      <w:r w:rsidR="000621AC"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0621AC" w:rsidRPr="00DC0ABE">
        <w:fldChar w:fldCharType="begin"/>
      </w:r>
      <w:r w:rsidRPr="00DC0ABE">
        <w:instrText xml:space="preserve"> PAGEREF _Toc439086503 \h </w:instrText>
      </w:r>
      <w:r w:rsidR="000621AC" w:rsidRPr="00DC0ABE">
        <w:fldChar w:fldCharType="separate"/>
      </w:r>
      <w:r w:rsidR="00B621E4">
        <w:t>24</w:t>
      </w:r>
      <w:r w:rsidR="000621AC"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0621AC" w:rsidRPr="00DC0ABE">
        <w:fldChar w:fldCharType="begin"/>
      </w:r>
      <w:r w:rsidRPr="00DC0ABE">
        <w:instrText xml:space="preserve"> PAGEREF _Toc439086504 \h </w:instrText>
      </w:r>
      <w:r w:rsidR="000621AC" w:rsidRPr="00DC0ABE">
        <w:fldChar w:fldCharType="separate"/>
      </w:r>
      <w:r w:rsidR="00B621E4">
        <w:t>25</w:t>
      </w:r>
      <w:r w:rsidR="000621AC"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0621AC" w:rsidRPr="00DC0ABE">
        <w:fldChar w:fldCharType="begin"/>
      </w:r>
      <w:r w:rsidRPr="00DC0ABE">
        <w:instrText xml:space="preserve"> PAGEREF _Toc439086505 \h </w:instrText>
      </w:r>
      <w:r w:rsidR="000621AC" w:rsidRPr="00DC0ABE">
        <w:fldChar w:fldCharType="separate"/>
      </w:r>
      <w:r w:rsidR="00B621E4">
        <w:t>25</w:t>
      </w:r>
      <w:r w:rsidR="000621AC"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0621AC" w:rsidRPr="00DC0ABE">
        <w:fldChar w:fldCharType="begin"/>
      </w:r>
      <w:r w:rsidRPr="00DC0ABE">
        <w:instrText xml:space="preserve"> PAGEREF _Toc439086506 \h </w:instrText>
      </w:r>
      <w:r w:rsidR="000621AC" w:rsidRPr="00DC0ABE">
        <w:fldChar w:fldCharType="separate"/>
      </w:r>
      <w:r w:rsidR="00B621E4">
        <w:t>26</w:t>
      </w:r>
      <w:r w:rsidR="000621AC"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0621AC" w:rsidRPr="00DC0ABE">
        <w:fldChar w:fldCharType="begin"/>
      </w:r>
      <w:r w:rsidRPr="00DC0ABE">
        <w:instrText xml:space="preserve"> PAGEREF _Toc439086507 \h </w:instrText>
      </w:r>
      <w:r w:rsidR="000621AC" w:rsidRPr="00DC0ABE">
        <w:fldChar w:fldCharType="separate"/>
      </w:r>
      <w:r w:rsidR="00B621E4">
        <w:t>28</w:t>
      </w:r>
      <w:r w:rsidR="000621AC" w:rsidRPr="00DC0ABE">
        <w:fldChar w:fldCharType="end"/>
      </w:r>
    </w:p>
    <w:p w:rsidR="00DC0ABE" w:rsidRPr="00DC0ABE" w:rsidRDefault="00DC0ABE" w:rsidP="00146A7C">
      <w:pPr>
        <w:pStyle w:val="Spisilustracji"/>
        <w:rPr>
          <w:rFonts w:eastAsiaTheme="minorEastAsia"/>
          <w:lang w:eastAsia="pl-PL"/>
        </w:rPr>
      </w:pPr>
      <w:r w:rsidRPr="00DC0ABE">
        <w:t>Tabela 24 Powody przyznania pomocy socjalnej</w:t>
      </w:r>
      <w:r w:rsidRPr="00DC0ABE">
        <w:tab/>
      </w:r>
      <w:r w:rsidR="000621AC" w:rsidRPr="00DC0ABE">
        <w:fldChar w:fldCharType="begin"/>
      </w:r>
      <w:r w:rsidRPr="00DC0ABE">
        <w:instrText xml:space="preserve"> PAGEREF _Toc439086508 \h </w:instrText>
      </w:r>
      <w:r w:rsidR="000621AC" w:rsidRPr="00DC0ABE">
        <w:fldChar w:fldCharType="separate"/>
      </w:r>
      <w:r w:rsidR="00B621E4">
        <w:t>28</w:t>
      </w:r>
      <w:r w:rsidR="000621AC" w:rsidRPr="00DC0ABE">
        <w:fldChar w:fldCharType="end"/>
      </w:r>
    </w:p>
    <w:p w:rsidR="00DC0ABE" w:rsidRPr="00DC0ABE" w:rsidRDefault="00DC0ABE" w:rsidP="00146A7C">
      <w:pPr>
        <w:pStyle w:val="Spisilustracji"/>
        <w:rPr>
          <w:rFonts w:eastAsiaTheme="minorEastAsia"/>
          <w:lang w:eastAsia="pl-PL"/>
        </w:rPr>
      </w:pPr>
      <w:r w:rsidRPr="00DC0ABE">
        <w:lastRenderedPageBreak/>
        <w:t>Tabela 25 Charakterystyka ruchu turystycznego na obszarze LGD „Dolina Drwęcy”</w:t>
      </w:r>
      <w:r w:rsidRPr="00DC0ABE">
        <w:tab/>
      </w:r>
      <w:r w:rsidR="000621AC" w:rsidRPr="00DC0ABE">
        <w:fldChar w:fldCharType="begin"/>
      </w:r>
      <w:r w:rsidRPr="00DC0ABE">
        <w:instrText xml:space="preserve"> PAGEREF _Toc439086509 \h </w:instrText>
      </w:r>
      <w:r w:rsidR="000621AC" w:rsidRPr="00DC0ABE">
        <w:fldChar w:fldCharType="separate"/>
      </w:r>
      <w:r w:rsidR="00B621E4">
        <w:t>32</w:t>
      </w:r>
      <w:r w:rsidR="000621AC"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0621AC" w:rsidRPr="00DC0ABE">
        <w:fldChar w:fldCharType="begin"/>
      </w:r>
      <w:r w:rsidRPr="00DC0ABE">
        <w:instrText xml:space="preserve"> PAGEREF _Toc439086510 \h </w:instrText>
      </w:r>
      <w:r w:rsidR="000621AC" w:rsidRPr="00DC0ABE">
        <w:fldChar w:fldCharType="separate"/>
      </w:r>
      <w:r w:rsidR="00B621E4">
        <w:t>34</w:t>
      </w:r>
      <w:r w:rsidR="000621AC"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0621AC" w:rsidRPr="00DC0ABE">
        <w:fldChar w:fldCharType="begin"/>
      </w:r>
      <w:r w:rsidRPr="00DC0ABE">
        <w:instrText xml:space="preserve"> PAGEREF _Toc439086511 \h </w:instrText>
      </w:r>
      <w:r w:rsidR="000621AC" w:rsidRPr="00DC0ABE">
        <w:fldChar w:fldCharType="separate"/>
      </w:r>
      <w:r w:rsidR="00B621E4">
        <w:t>35</w:t>
      </w:r>
      <w:r w:rsidR="000621AC"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0621AC" w:rsidRPr="00DC0ABE">
        <w:fldChar w:fldCharType="begin"/>
      </w:r>
      <w:r w:rsidRPr="00DC0ABE">
        <w:instrText xml:space="preserve"> PAGEREF _Toc439086512 \h </w:instrText>
      </w:r>
      <w:r w:rsidR="000621AC" w:rsidRPr="00DC0ABE">
        <w:fldChar w:fldCharType="separate"/>
      </w:r>
      <w:r w:rsidR="00B621E4">
        <w:t>36</w:t>
      </w:r>
      <w:r w:rsidR="000621AC"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0621AC" w:rsidRPr="00DC0ABE">
        <w:fldChar w:fldCharType="begin"/>
      </w:r>
      <w:r w:rsidRPr="00DC0ABE">
        <w:instrText xml:space="preserve"> PAGEREF _Toc439086513 \h </w:instrText>
      </w:r>
      <w:r w:rsidR="000621AC" w:rsidRPr="00DC0ABE">
        <w:fldChar w:fldCharType="separate"/>
      </w:r>
      <w:r w:rsidR="00B621E4">
        <w:t>37</w:t>
      </w:r>
      <w:r w:rsidR="000621AC"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0621AC" w:rsidRPr="00DC0ABE">
        <w:fldChar w:fldCharType="begin"/>
      </w:r>
      <w:r w:rsidRPr="00DC0ABE">
        <w:instrText xml:space="preserve"> PAGEREF _Toc439086514 \h </w:instrText>
      </w:r>
      <w:r w:rsidR="000621AC" w:rsidRPr="00DC0ABE">
        <w:fldChar w:fldCharType="separate"/>
      </w:r>
      <w:r w:rsidR="00B621E4">
        <w:t>40</w:t>
      </w:r>
      <w:r w:rsidR="000621AC"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0621AC" w:rsidRPr="00DC0ABE">
        <w:fldChar w:fldCharType="begin"/>
      </w:r>
      <w:r w:rsidRPr="00DC0ABE">
        <w:instrText xml:space="preserve"> PAGEREF _Toc439086515 \h </w:instrText>
      </w:r>
      <w:r w:rsidR="000621AC" w:rsidRPr="00DC0ABE">
        <w:fldChar w:fldCharType="separate"/>
      </w:r>
      <w:r w:rsidR="00B621E4">
        <w:t>41</w:t>
      </w:r>
      <w:r w:rsidR="000621AC"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0621AC" w:rsidRPr="00DC0ABE">
        <w:fldChar w:fldCharType="begin"/>
      </w:r>
      <w:r w:rsidRPr="00DC0ABE">
        <w:instrText xml:space="preserve"> PAGEREF _Toc439086516 \h </w:instrText>
      </w:r>
      <w:r w:rsidR="000621AC" w:rsidRPr="00DC0ABE">
        <w:fldChar w:fldCharType="separate"/>
      </w:r>
      <w:r w:rsidR="00B621E4">
        <w:t>44</w:t>
      </w:r>
      <w:r w:rsidR="000621AC"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0621AC" w:rsidRPr="00DC0ABE">
        <w:fldChar w:fldCharType="begin"/>
      </w:r>
      <w:r w:rsidRPr="00DC0ABE">
        <w:instrText xml:space="preserve"> PAGEREF _Toc439086517 \h </w:instrText>
      </w:r>
      <w:r w:rsidR="000621AC" w:rsidRPr="00DC0ABE">
        <w:fldChar w:fldCharType="separate"/>
      </w:r>
      <w:r w:rsidR="00B621E4">
        <w:t>47</w:t>
      </w:r>
      <w:r w:rsidR="000621AC"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0621AC" w:rsidRPr="00DC0ABE">
        <w:fldChar w:fldCharType="begin"/>
      </w:r>
      <w:r w:rsidRPr="00DC0ABE">
        <w:instrText xml:space="preserve"> PAGEREF _Toc439086518 \h </w:instrText>
      </w:r>
      <w:r w:rsidR="000621AC" w:rsidRPr="00DC0ABE">
        <w:fldChar w:fldCharType="separate"/>
      </w:r>
      <w:r w:rsidR="00B621E4">
        <w:t>48</w:t>
      </w:r>
      <w:r w:rsidR="000621AC"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0621AC" w:rsidRPr="00DC0ABE">
        <w:fldChar w:fldCharType="begin"/>
      </w:r>
      <w:r w:rsidRPr="00DC0ABE">
        <w:instrText xml:space="preserve"> PAGEREF _Toc439086519 \h </w:instrText>
      </w:r>
      <w:r w:rsidR="000621AC" w:rsidRPr="00DC0ABE">
        <w:fldChar w:fldCharType="separate"/>
      </w:r>
      <w:r w:rsidR="00B621E4">
        <w:t>49</w:t>
      </w:r>
      <w:r w:rsidR="000621AC"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0621AC" w:rsidRPr="00DC0ABE">
        <w:fldChar w:fldCharType="begin"/>
      </w:r>
      <w:r w:rsidRPr="00DC0ABE">
        <w:instrText xml:space="preserve"> PAGEREF _Toc439086520 \h </w:instrText>
      </w:r>
      <w:r w:rsidR="000621AC" w:rsidRPr="00DC0ABE">
        <w:fldChar w:fldCharType="separate"/>
      </w:r>
      <w:r w:rsidR="00B621E4">
        <w:t>61</w:t>
      </w:r>
      <w:r w:rsidR="000621AC"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0621AC" w:rsidRPr="00DC0ABE">
        <w:fldChar w:fldCharType="begin"/>
      </w:r>
      <w:r w:rsidRPr="00DC0ABE">
        <w:instrText xml:space="preserve"> PAGEREF _Toc439086521 \h </w:instrText>
      </w:r>
      <w:r w:rsidR="000621AC" w:rsidRPr="00DC0ABE">
        <w:fldChar w:fldCharType="separate"/>
      </w:r>
      <w:r w:rsidR="00B621E4">
        <w:t>62</w:t>
      </w:r>
      <w:r w:rsidR="000621AC"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0621AC" w:rsidRPr="00DC0ABE">
        <w:fldChar w:fldCharType="begin"/>
      </w:r>
      <w:r w:rsidRPr="00DC0ABE">
        <w:instrText xml:space="preserve"> PAGEREF _Toc439086522 \h </w:instrText>
      </w:r>
      <w:r w:rsidR="000621AC" w:rsidRPr="00DC0ABE">
        <w:fldChar w:fldCharType="separate"/>
      </w:r>
      <w:r w:rsidR="00B621E4">
        <w:t>67</w:t>
      </w:r>
      <w:r w:rsidR="000621AC"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0621AC" w:rsidRPr="00DC0ABE">
        <w:fldChar w:fldCharType="begin"/>
      </w:r>
      <w:r w:rsidRPr="00DC0ABE">
        <w:instrText xml:space="preserve"> PAGEREF _Toc439086523 \h </w:instrText>
      </w:r>
      <w:r w:rsidR="000621AC" w:rsidRPr="00DC0ABE">
        <w:fldChar w:fldCharType="separate"/>
      </w:r>
      <w:r w:rsidR="00B621E4">
        <w:t>70</w:t>
      </w:r>
      <w:r w:rsidR="000621AC"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0621AC" w:rsidRPr="00DC0ABE">
        <w:fldChar w:fldCharType="begin"/>
      </w:r>
      <w:r w:rsidRPr="00DC0ABE">
        <w:instrText xml:space="preserve"> PAGEREF _Toc439086534 \h </w:instrText>
      </w:r>
      <w:r w:rsidR="000621AC" w:rsidRPr="00DC0ABE">
        <w:fldChar w:fldCharType="separate"/>
      </w:r>
      <w:r w:rsidR="00B621E4">
        <w:t>85</w:t>
      </w:r>
      <w:r w:rsidR="000621AC" w:rsidRPr="00DC0ABE">
        <w:fldChar w:fldCharType="end"/>
      </w:r>
    </w:p>
    <w:p w:rsidR="008C7E72" w:rsidRPr="00683FDC" w:rsidRDefault="000621AC">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C078CB">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w:t>
      </w:r>
      <w:proofErr w:type="spellStart"/>
      <w:r w:rsidR="008C5319">
        <w:rPr>
          <w:rFonts w:cs="Times New Roman"/>
        </w:rPr>
        <w:t>Dz.U</w:t>
      </w:r>
      <w:proofErr w:type="spellEnd"/>
      <w:r w:rsidR="008C5319">
        <w:rPr>
          <w:rFonts w:cs="Times New Roman"/>
        </w:rPr>
        <w:t>.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C078CB">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0621AC"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0621AC" w:rsidRPr="007B110B">
        <w:rPr>
          <w:sz w:val="20"/>
          <w:szCs w:val="20"/>
        </w:rPr>
        <w:fldChar w:fldCharType="begin"/>
      </w:r>
      <w:r w:rsidR="00A3573D" w:rsidRPr="007B110B">
        <w:rPr>
          <w:sz w:val="20"/>
          <w:szCs w:val="20"/>
        </w:rPr>
        <w:instrText xml:space="preserve"> SEQ Rysunek \* ARABIC </w:instrText>
      </w:r>
      <w:r w:rsidR="000621AC" w:rsidRPr="007B110B">
        <w:rPr>
          <w:sz w:val="20"/>
          <w:szCs w:val="20"/>
        </w:rPr>
        <w:fldChar w:fldCharType="separate"/>
      </w:r>
      <w:r w:rsidR="00B621E4">
        <w:rPr>
          <w:noProof/>
          <w:sz w:val="20"/>
          <w:szCs w:val="20"/>
        </w:rPr>
        <w:t>1</w:t>
      </w:r>
      <w:r w:rsidR="000621AC"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0621AC" w:rsidRPr="0008721B">
        <w:rPr>
          <w:sz w:val="20"/>
          <w:szCs w:val="20"/>
        </w:rPr>
        <w:fldChar w:fldCharType="begin"/>
      </w:r>
      <w:r w:rsidR="00086E3B" w:rsidRPr="0008721B">
        <w:rPr>
          <w:sz w:val="20"/>
          <w:szCs w:val="20"/>
        </w:rPr>
        <w:instrText xml:space="preserve"> SEQ Tabela \* ARABIC </w:instrText>
      </w:r>
      <w:r w:rsidR="000621AC" w:rsidRPr="0008721B">
        <w:rPr>
          <w:sz w:val="20"/>
          <w:szCs w:val="20"/>
        </w:rPr>
        <w:fldChar w:fldCharType="separate"/>
      </w:r>
      <w:r w:rsidR="00B621E4">
        <w:rPr>
          <w:noProof/>
          <w:sz w:val="20"/>
          <w:szCs w:val="20"/>
        </w:rPr>
        <w:t>1</w:t>
      </w:r>
      <w:r w:rsidR="000621AC"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0621AC" w:rsidRPr="0008721B">
        <w:rPr>
          <w:sz w:val="20"/>
          <w:szCs w:val="20"/>
        </w:rPr>
        <w:fldChar w:fldCharType="begin"/>
      </w:r>
      <w:r w:rsidRPr="0008721B">
        <w:rPr>
          <w:sz w:val="20"/>
          <w:szCs w:val="20"/>
        </w:rPr>
        <w:instrText xml:space="preserve"> SEQ Tabela \* ARABIC </w:instrText>
      </w:r>
      <w:r w:rsidR="000621AC" w:rsidRPr="0008721B">
        <w:rPr>
          <w:sz w:val="20"/>
          <w:szCs w:val="20"/>
        </w:rPr>
        <w:fldChar w:fldCharType="separate"/>
      </w:r>
      <w:r w:rsidR="00B621E4">
        <w:rPr>
          <w:noProof/>
          <w:sz w:val="20"/>
          <w:szCs w:val="20"/>
        </w:rPr>
        <w:t>2</w:t>
      </w:r>
      <w:r w:rsidR="000621AC"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 xml:space="preserve">Lokalna Strategia Rozwoju LGD "Dolina Drwęcy" będzie </w:t>
      </w:r>
      <w:proofErr w:type="spellStart"/>
      <w:r>
        <w:rPr>
          <w:rFonts w:cs="Times New Roman"/>
        </w:rPr>
        <w:t>wielofunduszowa</w:t>
      </w:r>
      <w:proofErr w:type="spellEnd"/>
      <w:r>
        <w:rPr>
          <w:rFonts w:cs="Times New Roman"/>
        </w:rPr>
        <w:t xml:space="preserve">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C078CB">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0621AC" w:rsidRPr="0008721B">
        <w:rPr>
          <w:sz w:val="20"/>
          <w:szCs w:val="20"/>
        </w:rPr>
        <w:fldChar w:fldCharType="begin"/>
      </w:r>
      <w:r w:rsidRPr="0008721B">
        <w:rPr>
          <w:sz w:val="20"/>
          <w:szCs w:val="20"/>
        </w:rPr>
        <w:instrText xml:space="preserve"> SEQ Tabela \* ARABIC </w:instrText>
      </w:r>
      <w:r w:rsidR="000621AC" w:rsidRPr="0008721B">
        <w:rPr>
          <w:sz w:val="20"/>
          <w:szCs w:val="20"/>
        </w:rPr>
        <w:fldChar w:fldCharType="separate"/>
      </w:r>
      <w:r w:rsidR="00B621E4">
        <w:rPr>
          <w:noProof/>
          <w:sz w:val="20"/>
          <w:szCs w:val="20"/>
        </w:rPr>
        <w:t>3</w:t>
      </w:r>
      <w:r w:rsidR="000621AC"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 xml:space="preserve">Tworzenie i rozwój </w:t>
            </w:r>
            <w:proofErr w:type="spellStart"/>
            <w:r w:rsidRPr="009C4EF5">
              <w:rPr>
                <w:rFonts w:cs="Times New Roman"/>
              </w:rPr>
              <w:t>mikroprzedsiębiorstw</w:t>
            </w:r>
            <w:proofErr w:type="spellEnd"/>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w:t>
      </w:r>
      <w:proofErr w:type="spellStart"/>
      <w:r w:rsidR="0008721B" w:rsidRPr="009566C5">
        <w:rPr>
          <w:rFonts w:cs="Times New Roman"/>
        </w:rPr>
        <w:t>Owieczkowo</w:t>
      </w:r>
      <w:proofErr w:type="spellEnd"/>
      <w:r w:rsidR="0008721B" w:rsidRPr="009566C5">
        <w:rPr>
          <w:rFonts w:cs="Times New Roman"/>
        </w:rPr>
        <w:t xml:space="preserve">, Skępsk, </w:t>
      </w:r>
      <w:proofErr w:type="spellStart"/>
      <w:r w:rsidR="0008721B" w:rsidRPr="009566C5">
        <w:rPr>
          <w:rFonts w:cs="Times New Roman"/>
        </w:rPr>
        <w:t>Konstancjewo</w:t>
      </w:r>
      <w:proofErr w:type="spellEnd"/>
      <w:r w:rsidR="0008721B" w:rsidRPr="009566C5">
        <w:rPr>
          <w:rFonts w:cs="Times New Roman"/>
        </w:rPr>
        <w:t xml:space="preserve"> (Gmina Golub-Dobrzyń), Wielkie Rychnowo, Chełmonie, Chełmoniec, Pluskowęsy, Sierakowo (Gmina Kowalewo Pomorskie), Elgiszewo (Gmina Ciechocin), </w:t>
      </w:r>
      <w:proofErr w:type="spellStart"/>
      <w:r w:rsidR="0008721B" w:rsidRPr="009566C5">
        <w:rPr>
          <w:rFonts w:cs="Times New Roman"/>
        </w:rPr>
        <w:t>Ruże</w:t>
      </w:r>
      <w:proofErr w:type="spellEnd"/>
      <w:r w:rsidR="0008721B" w:rsidRPr="009566C5">
        <w:rPr>
          <w:rFonts w:cs="Times New Roman"/>
        </w:rPr>
        <w:t xml:space="preserv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w:t>
      </w:r>
      <w:proofErr w:type="spellStart"/>
      <w:r>
        <w:rPr>
          <w:rFonts w:cs="Times New Roman"/>
        </w:rPr>
        <w:t>mikroprzedsiębiorstw</w:t>
      </w:r>
      <w:proofErr w:type="spellEnd"/>
      <w:r>
        <w:rPr>
          <w:rFonts w:cs="Times New Roman"/>
        </w:rPr>
        <w:t xml:space="preserve">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w:t>
      </w:r>
      <w:proofErr w:type="spellStart"/>
      <w:r w:rsidR="0002295D">
        <w:rPr>
          <w:rFonts w:cs="Times New Roman"/>
        </w:rPr>
        <w:t>około</w:t>
      </w:r>
      <w:r>
        <w:rPr>
          <w:rFonts w:cs="Times New Roman"/>
        </w:rPr>
        <w:t>turystycznej</w:t>
      </w:r>
      <w:proofErr w:type="spellEnd"/>
      <w:r>
        <w:rPr>
          <w:rFonts w:cs="Times New Roman"/>
        </w:rPr>
        <w:t xml:space="preserve">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proofErr w:type="spellStart"/>
      <w:r>
        <w:rPr>
          <w:rFonts w:cs="Times New Roman"/>
        </w:rPr>
        <w:t>okołoturystycznej</w:t>
      </w:r>
      <w:proofErr w:type="spellEnd"/>
      <w:r>
        <w:rPr>
          <w:rFonts w:cs="Times New Roman"/>
        </w:rPr>
        <w:t xml:space="preserve">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w:t>
      </w:r>
      <w:proofErr w:type="spellStart"/>
      <w:r w:rsidRPr="0008721B">
        <w:rPr>
          <w:rFonts w:cs="Times New Roman"/>
        </w:rPr>
        <w:t>okołoturystycznej</w:t>
      </w:r>
      <w:proofErr w:type="spellEnd"/>
      <w:r w:rsidRPr="0008721B">
        <w:rPr>
          <w:rFonts w:cs="Times New Roman"/>
        </w:rPr>
        <w:t>,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0621AC" w:rsidRPr="0008721B">
        <w:rPr>
          <w:sz w:val="20"/>
          <w:szCs w:val="20"/>
        </w:rPr>
        <w:fldChar w:fldCharType="begin"/>
      </w:r>
      <w:r w:rsidRPr="0008721B">
        <w:rPr>
          <w:sz w:val="20"/>
          <w:szCs w:val="20"/>
        </w:rPr>
        <w:instrText xml:space="preserve"> SEQ Tabela \* ARABIC </w:instrText>
      </w:r>
      <w:r w:rsidR="000621AC" w:rsidRPr="0008721B">
        <w:rPr>
          <w:sz w:val="20"/>
          <w:szCs w:val="20"/>
        </w:rPr>
        <w:fldChar w:fldCharType="separate"/>
      </w:r>
      <w:r w:rsidR="00B621E4">
        <w:rPr>
          <w:noProof/>
          <w:sz w:val="20"/>
          <w:szCs w:val="20"/>
        </w:rPr>
        <w:t>4</w:t>
      </w:r>
      <w:r w:rsidR="000621AC"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08721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Katarzyna </w:t>
            </w:r>
            <w:proofErr w:type="spellStart"/>
            <w:r w:rsidRPr="00D5471F">
              <w:rPr>
                <w:rFonts w:cs="Times New Roman"/>
              </w:rPr>
              <w:t>Kukielska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Marek </w:t>
            </w:r>
            <w:proofErr w:type="spellStart"/>
            <w:r w:rsidRPr="00D5471F">
              <w:rPr>
                <w:rFonts w:cs="Times New Roman"/>
              </w:rPr>
              <w:t>Ryłowicz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rPr>
            </w:pPr>
            <w:r w:rsidRPr="00D5471F">
              <w:rPr>
                <w:rFonts w:cs="Times New Roman"/>
              </w:rPr>
              <w:t xml:space="preserve">Andrzej </w:t>
            </w:r>
            <w:proofErr w:type="spellStart"/>
            <w:r w:rsidRPr="00D5471F">
              <w:rPr>
                <w:rFonts w:cs="Times New Roman"/>
              </w:rPr>
              <w:t>Okruciński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8B74F7">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 xml:space="preserve">Powiat </w:t>
            </w:r>
            <w:r w:rsidR="008B74F7" w:rsidRPr="00D5471F">
              <w:rPr>
                <w:rFonts w:cs="Times New Roman"/>
                <w:highlight w:val="white"/>
                <w:shd w:val="clear" w:color="auto" w:fill="FFFF00"/>
              </w:rPr>
              <w:t>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EF793E" w:rsidP="00D5471F">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08721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9</w:t>
            </w:r>
            <w:r w:rsidR="0008721B" w:rsidRPr="00D5471F">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w:t>
            </w:r>
            <w:r w:rsidR="00FE08D1" w:rsidRPr="00D5471F">
              <w:rPr>
                <w:rFonts w:cs="Times New Roman"/>
              </w:rPr>
              <w:t>o na Rzecz Rozwoju Wsi Węgiersk</w:t>
            </w:r>
            <w:r w:rsidR="00FE08D1" w:rsidRPr="00D5471F">
              <w:rPr>
                <w:rFonts w:cs="Times New Roman"/>
              </w:rPr>
              <w:br/>
            </w:r>
            <w:r w:rsidRPr="00D5471F">
              <w:rPr>
                <w:rFonts w:cs="Times New Roman"/>
              </w:rP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Urszula </w:t>
            </w:r>
            <w:proofErr w:type="spellStart"/>
            <w:r w:rsidRPr="00D5471F">
              <w:rPr>
                <w:rFonts w:cs="Times New Roman"/>
              </w:rPr>
              <w:t>Arentowicz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10</w:t>
            </w:r>
            <w:r w:rsidR="0008721B" w:rsidRPr="00D5471F">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proofErr w:type="spellStart"/>
            <w:r w:rsidRPr="00D5471F">
              <w:rPr>
                <w:rFonts w:cs="Times New Roman"/>
              </w:rPr>
              <w:t>Aleksandra</w:t>
            </w:r>
            <w:proofErr w:type="spellEnd"/>
            <w:r w:rsidRPr="00D5471F">
              <w:rPr>
                <w:rFonts w:cs="Times New Roman"/>
              </w:rPr>
              <w:t xml:space="preserve"> </w:t>
            </w:r>
            <w:proofErr w:type="spellStart"/>
            <w:r w:rsidRPr="00D5471F">
              <w:rPr>
                <w:rFonts w:cs="Times New Roman"/>
              </w:rPr>
              <w:t>Dulczewska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11</w:t>
            </w:r>
            <w:r w:rsidR="0008721B" w:rsidRPr="00D5471F">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12</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13</w:t>
            </w:r>
            <w:r w:rsidR="0008721B" w:rsidRPr="00D5471F">
              <w:rPr>
                <w:rFonts w:cs="Times New Roman"/>
              </w:rPr>
              <w:t>.</w:t>
            </w:r>
          </w:p>
        </w:tc>
        <w:tc>
          <w:tcPr>
            <w:tcW w:w="4820" w:type="dxa"/>
            <w:tcBorders>
              <w:top w:val="single" w:sz="4" w:space="0" w:color="auto"/>
              <w:left w:val="single" w:sz="4" w:space="0" w:color="000000"/>
              <w:bottom w:val="single" w:sz="8" w:space="0" w:color="000000"/>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08721B" w:rsidRPr="00D5471F" w:rsidRDefault="00E95F95" w:rsidP="00FA02E8">
            <w:pPr>
              <w:snapToGrid w:val="0"/>
              <w:spacing w:after="0" w:line="240" w:lineRule="auto"/>
              <w:jc w:val="center"/>
              <w:rPr>
                <w:rFonts w:cs="Times New Roman"/>
              </w:rPr>
            </w:pPr>
            <w:r w:rsidRPr="00D5471F">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14</w:t>
            </w:r>
            <w:r w:rsidR="0008721B" w:rsidRPr="00D5471F">
              <w:rPr>
                <w:rFonts w:cs="Times New Roman"/>
              </w:rPr>
              <w:t>.</w:t>
            </w:r>
          </w:p>
        </w:tc>
        <w:tc>
          <w:tcPr>
            <w:tcW w:w="4820" w:type="dxa"/>
            <w:tcBorders>
              <w:top w:val="single" w:sz="8" w:space="0" w:color="000000"/>
              <w:left w:val="single" w:sz="4" w:space="0" w:color="000000"/>
              <w:bottom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 xml:space="preserve">Ochotnicza Straż Pożarna w </w:t>
            </w:r>
            <w:proofErr w:type="spellStart"/>
            <w:r w:rsidRPr="00D5471F">
              <w:rPr>
                <w:rFonts w:cs="Times New Roman"/>
              </w:rPr>
              <w:t>Rużu</w:t>
            </w:r>
            <w:proofErr w:type="spellEnd"/>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D5471F" w:rsidP="00FA02E8">
            <w:pPr>
              <w:snapToGrid w:val="0"/>
              <w:spacing w:after="0" w:line="240" w:lineRule="auto"/>
              <w:jc w:val="center"/>
              <w:rPr>
                <w:rFonts w:cs="Times New Roman"/>
              </w:rPr>
            </w:pPr>
            <w:r w:rsidRPr="00D5471F">
              <w:rPr>
                <w:rFonts w:cs="Times New Roman"/>
              </w:rPr>
              <w:t>15</w:t>
            </w:r>
            <w:r w:rsidR="0008721B" w:rsidRPr="00D5471F">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D5471F" w:rsidRDefault="0008721B" w:rsidP="00FA02E8">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lastRenderedPageBreak/>
              <w:t>16</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Maria </w:t>
            </w:r>
            <w:proofErr w:type="spellStart"/>
            <w:r w:rsidRPr="009C4EF5">
              <w:rPr>
                <w:rFonts w:cs="Times New Roman"/>
              </w:rPr>
              <w:t>Gregorowicz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17</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19</w:t>
            </w:r>
            <w:r w:rsidR="0008721B" w:rsidRPr="00F80103">
              <w:rPr>
                <w:rFonts w:cs="Times New Roman"/>
              </w:rPr>
              <w:t>.</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20</w:t>
            </w:r>
            <w:r w:rsidR="0008721B" w:rsidRPr="00F80103">
              <w:rPr>
                <w:rFonts w:cs="Times New Roman"/>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21</w:t>
            </w:r>
            <w:r w:rsidR="0008721B" w:rsidRPr="00F80103">
              <w:rPr>
                <w:rFonts w:cs="Times New Roman"/>
              </w:rPr>
              <w:t>.</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22</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23</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Małgorzata </w:t>
            </w:r>
            <w:proofErr w:type="spellStart"/>
            <w:r w:rsidRPr="009C4EF5">
              <w:rPr>
                <w:rFonts w:cs="Times New Roman"/>
              </w:rPr>
              <w:t>Kuroś</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24</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25</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26</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27</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 xml:space="preserve">Renata </w:t>
            </w:r>
            <w:proofErr w:type="spellStart"/>
            <w:r w:rsidRPr="009C4EF5">
              <w:rPr>
                <w:rFonts w:cs="Times New Roman"/>
                <w:bCs/>
              </w:rPr>
              <w:t>Faluta-Kaszubowska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28</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29</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C0E33" w:rsidRDefault="00FF0060" w:rsidP="00FA02E8">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571"/>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F80103" w:rsidRDefault="00F80103" w:rsidP="00FA02E8">
            <w:pPr>
              <w:snapToGrid w:val="0"/>
              <w:spacing w:after="0" w:line="240" w:lineRule="auto"/>
              <w:jc w:val="center"/>
              <w:rPr>
                <w:rFonts w:cs="Times New Roman"/>
              </w:rPr>
            </w:pPr>
            <w:r w:rsidRPr="00F80103">
              <w:rPr>
                <w:rFonts w:cs="Times New Roman"/>
              </w:rPr>
              <w:t>30</w:t>
            </w:r>
            <w:r w:rsidR="0008721B" w:rsidRPr="00F80103">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Stowarzyszenie Aktywnych na</w:t>
            </w:r>
            <w:r w:rsidR="00FE08D1">
              <w:rPr>
                <w:rFonts w:cs="Times New Roman"/>
                <w:bCs/>
              </w:rPr>
              <w:t xml:space="preserve"> Rzecz Wsi Obory</w:t>
            </w:r>
            <w:r w:rsidR="00FE08D1">
              <w:rPr>
                <w:rFonts w:cs="Times New Roman"/>
                <w:bCs/>
              </w:rPr>
              <w:br/>
            </w:r>
            <w:r w:rsidRPr="009C4EF5">
              <w:rPr>
                <w:rFonts w:cs="Times New Roman"/>
                <w:bCs/>
              </w:rPr>
              <w:t>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Hanna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31</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32</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w:t>
            </w:r>
            <w:r w:rsidR="00FE08D1">
              <w:rPr>
                <w:rFonts w:cs="Times New Roman"/>
              </w:rPr>
              <w:t>rzyszenie Nowoczesnych Gospodyń</w:t>
            </w:r>
            <w:r w:rsidR="00FE08D1">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 xml:space="preserve">Hanna </w:t>
            </w:r>
            <w:proofErr w:type="spellStart"/>
            <w:r w:rsidRPr="009C4EF5">
              <w:rPr>
                <w:rFonts w:cs="Times New Roman"/>
              </w:rPr>
              <w:t>Szwaracka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5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33</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34</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35</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Martewicz</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1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36</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Barbara </w:t>
            </w:r>
            <w:proofErr w:type="spellStart"/>
            <w:r w:rsidRPr="009C4EF5">
              <w:rPr>
                <w:rFonts w:cs="Times New Roman"/>
              </w:rPr>
              <w:t>Niewidział</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37</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185EA3" w:rsidP="00FA02E8">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1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38</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Szpejankowska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Szpejankowska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39</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Bożena </w:t>
            </w:r>
            <w:proofErr w:type="spellStart"/>
            <w:r w:rsidRPr="009C4EF5">
              <w:rPr>
                <w:rFonts w:cs="Times New Roman"/>
              </w:rPr>
              <w:t>Watkowska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E4240" w:rsidRDefault="005E4240" w:rsidP="00FA02E8">
            <w:pPr>
              <w:snapToGrid w:val="0"/>
              <w:spacing w:after="0" w:line="240" w:lineRule="auto"/>
              <w:jc w:val="center"/>
              <w:rPr>
                <w:rFonts w:cs="Times New Roman"/>
              </w:rPr>
            </w:pPr>
            <w:r w:rsidRPr="005E4240">
              <w:rPr>
                <w:rFonts w:cs="Times New Roman"/>
              </w:rPr>
              <w:t>40</w:t>
            </w:r>
            <w:r w:rsidR="0008721B" w:rsidRPr="005E4240">
              <w:rPr>
                <w:rFonts w:cs="Times New Roman"/>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524179" w:rsidRDefault="00524179" w:rsidP="00FA02E8">
            <w:pPr>
              <w:snapToGrid w:val="0"/>
              <w:spacing w:after="0" w:line="240" w:lineRule="auto"/>
              <w:jc w:val="center"/>
              <w:rPr>
                <w:rFonts w:cs="Times New Roman"/>
                <w:highlight w:val="white"/>
                <w:shd w:val="clear" w:color="auto" w:fill="FFFF00"/>
              </w:rPr>
            </w:pPr>
            <w:r w:rsidRPr="00524179">
              <w:rPr>
                <w:rFonts w:cs="Times New Roman"/>
                <w:highlight w:val="white"/>
                <w:shd w:val="clear" w:color="auto" w:fill="FFFF00"/>
              </w:rPr>
              <w:t>41</w:t>
            </w:r>
            <w:r w:rsidR="0008721B" w:rsidRPr="0052417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Towarzystwo Przyjaciół </w:t>
            </w:r>
            <w:proofErr w:type="spellStart"/>
            <w:r w:rsidRPr="009C4EF5">
              <w:rPr>
                <w:rFonts w:cs="Times New Roman"/>
              </w:rPr>
              <w:t>Ruża</w:t>
            </w:r>
            <w:proofErr w:type="spellEnd"/>
            <w:r w:rsidRPr="009C4EF5">
              <w:rPr>
                <w:rFonts w:cs="Times New Roman"/>
              </w:rPr>
              <w:t xml:space="preserve">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42</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43</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44</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45</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46</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47</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48</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49</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8B74F7" w:rsidP="00FA02E8">
            <w:pPr>
              <w:snapToGrid w:val="0"/>
              <w:spacing w:after="0" w:line="240" w:lineRule="auto"/>
              <w:jc w:val="center"/>
              <w:rPr>
                <w:rFonts w:cs="Times New Roman"/>
              </w:rPr>
            </w:pPr>
            <w:r>
              <w:rPr>
                <w:rFonts w:cs="Times New Roman"/>
              </w:rPr>
              <w:t xml:space="preserve">Foto-video </w:t>
            </w:r>
            <w:r w:rsidR="0008721B" w:rsidRPr="009C4EF5">
              <w:rPr>
                <w:rFonts w:cs="Times New Roman"/>
              </w:rPr>
              <w:t xml:space="preserve">Robert </w:t>
            </w:r>
            <w:proofErr w:type="spellStart"/>
            <w:r w:rsidR="0008721B" w:rsidRPr="009C4EF5">
              <w:rPr>
                <w:rFonts w:cs="Times New Roman"/>
              </w:rPr>
              <w:t>Krępeć</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Robert </w:t>
            </w:r>
            <w:proofErr w:type="spellStart"/>
            <w:r w:rsidRPr="009C4EF5">
              <w:rPr>
                <w:rFonts w:cs="Times New Roman"/>
              </w:rPr>
              <w:t>Krępeć</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0360F1" w:rsidRDefault="000360F1" w:rsidP="00FA02E8">
            <w:pPr>
              <w:snapToGrid w:val="0"/>
              <w:spacing w:after="0" w:line="240" w:lineRule="auto"/>
              <w:jc w:val="center"/>
              <w:rPr>
                <w:rFonts w:cs="Times New Roman"/>
                <w:highlight w:val="white"/>
                <w:shd w:val="clear" w:color="auto" w:fill="FFFF00"/>
              </w:rPr>
            </w:pPr>
            <w:r w:rsidRPr="000360F1">
              <w:rPr>
                <w:rFonts w:cs="Times New Roman"/>
                <w:highlight w:val="white"/>
                <w:shd w:val="clear" w:color="auto" w:fill="FFFF00"/>
              </w:rPr>
              <w:t>50</w:t>
            </w:r>
            <w:r w:rsidR="0008721B" w:rsidRPr="000360F1">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Anna </w:t>
            </w:r>
            <w:proofErr w:type="spellStart"/>
            <w:r w:rsidRPr="009C4EF5">
              <w:rPr>
                <w:rFonts w:cs="Times New Roman"/>
              </w:rPr>
              <w:t>Mejger</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51</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58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52</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 xml:space="preserve">Kazimierz </w:t>
            </w:r>
            <w:proofErr w:type="spellStart"/>
            <w:r w:rsidRPr="009C4EF5">
              <w:rPr>
                <w:rFonts w:cs="Times New Roman"/>
              </w:rPr>
              <w:t>Blokowski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53</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54</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55</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56</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Wróblewska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57</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58</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59</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60</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61</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62</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 xml:space="preserve">Karolina </w:t>
            </w:r>
            <w:r w:rsidR="004E12C1" w:rsidRPr="00A10603">
              <w:rPr>
                <w:rFonts w:cs="Times New Roman"/>
              </w:rPr>
              <w:t>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Karolina</w:t>
            </w:r>
            <w:r w:rsidR="004E12C1" w:rsidRPr="00A10603">
              <w:rPr>
                <w:rFonts w:cs="Times New Roman"/>
              </w:rPr>
              <w:t xml:space="preserve">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lastRenderedPageBreak/>
              <w:t>63</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64</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65</w:t>
            </w:r>
            <w:r w:rsidR="0008721B"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8B74F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B74F7"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66</w:t>
            </w:r>
            <w:r w:rsidR="008B74F7"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74F7" w:rsidRPr="009C4EF5" w:rsidRDefault="008B74F7" w:rsidP="00FA02E8">
            <w:pPr>
              <w:snapToGrid w:val="0"/>
              <w:spacing w:after="0" w:line="240" w:lineRule="auto"/>
              <w:jc w:val="center"/>
              <w:rPr>
                <w:rFonts w:cs="Times New Roman"/>
                <w:bCs/>
              </w:rPr>
            </w:pPr>
            <w:r>
              <w:rPr>
                <w:rFonts w:cs="Times New Roman"/>
                <w:bCs/>
              </w:rPr>
              <w:t>społeczny</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67</w:t>
            </w:r>
            <w:r w:rsidR="005F5B83"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68</w:t>
            </w:r>
            <w:r w:rsidR="005F5B83"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69</w:t>
            </w:r>
            <w:r w:rsidR="005D1CD6"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 xml:space="preserve">Michał </w:t>
            </w:r>
            <w:proofErr w:type="spellStart"/>
            <w:r w:rsidRPr="00D43BB1">
              <w:rPr>
                <w:rFonts w:cs="Times New Roman"/>
              </w:rPr>
              <w:t>Klafczyński</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70</w:t>
            </w:r>
            <w:r w:rsidR="005D1CD6"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0C1685"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C1685" w:rsidRPr="001E49A9" w:rsidRDefault="001E49A9" w:rsidP="00FA02E8">
            <w:pPr>
              <w:snapToGrid w:val="0"/>
              <w:spacing w:after="0" w:line="240" w:lineRule="auto"/>
              <w:jc w:val="center"/>
              <w:rPr>
                <w:rFonts w:cs="Times New Roman"/>
                <w:highlight w:val="white"/>
                <w:shd w:val="clear" w:color="auto" w:fill="FFFF00"/>
              </w:rPr>
            </w:pPr>
            <w:r w:rsidRPr="001E49A9">
              <w:rPr>
                <w:rFonts w:cs="Times New Roman"/>
                <w:highlight w:val="white"/>
                <w:shd w:val="clear" w:color="auto" w:fill="FFFF00"/>
              </w:rPr>
              <w:t>71</w:t>
            </w:r>
            <w:r w:rsidR="000C1685" w:rsidRPr="001E49A9">
              <w:rPr>
                <w:rFonts w:cs="Times New Roman"/>
                <w:highlight w:val="white"/>
                <w:shd w:val="clear" w:color="auto" w:fill="FFFF00"/>
              </w:rPr>
              <w:t>.</w:t>
            </w:r>
          </w:p>
        </w:tc>
        <w:tc>
          <w:tcPr>
            <w:tcW w:w="4820" w:type="dxa"/>
            <w:tcBorders>
              <w:top w:val="single" w:sz="4" w:space="0" w:color="000000"/>
              <w:left w:val="single" w:sz="4" w:space="0" w:color="000000"/>
              <w:bottom w:val="single" w:sz="4" w:space="0" w:color="000000"/>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rPr>
            </w:pPr>
            <w:r w:rsidRPr="00014011">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1685" w:rsidRPr="00014011" w:rsidRDefault="000C1685" w:rsidP="00FA02E8">
            <w:pPr>
              <w:snapToGrid w:val="0"/>
              <w:spacing w:after="0" w:line="240" w:lineRule="auto"/>
              <w:jc w:val="center"/>
              <w:rPr>
                <w:rFonts w:cs="Times New Roman"/>
                <w:bCs/>
              </w:rPr>
            </w:pPr>
            <w:r w:rsidRPr="00014011">
              <w:rPr>
                <w:rFonts w:cs="Times New Roman"/>
                <w:bCs/>
              </w:rPr>
              <w:t>mieszkaniec</w:t>
            </w:r>
          </w:p>
        </w:tc>
      </w:tr>
      <w:tr w:rsidR="00951709" w:rsidRPr="00951709"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951709" w:rsidRPr="00951709" w:rsidRDefault="00951709" w:rsidP="00FA02E8">
            <w:pPr>
              <w:snapToGrid w:val="0"/>
              <w:spacing w:after="0" w:line="240" w:lineRule="auto"/>
              <w:jc w:val="center"/>
              <w:rPr>
                <w:rFonts w:cs="Times New Roman"/>
                <w:color w:val="FF0000"/>
                <w:highlight w:val="white"/>
                <w:shd w:val="clear" w:color="auto" w:fill="FFFF00"/>
              </w:rPr>
            </w:pPr>
            <w:r>
              <w:rPr>
                <w:rFonts w:cs="Times New Roman"/>
                <w:color w:val="FF0000"/>
                <w:highlight w:val="white"/>
                <w:shd w:val="clear" w:color="auto" w:fill="FFFF00"/>
              </w:rPr>
              <w:t>72.</w:t>
            </w:r>
          </w:p>
        </w:tc>
        <w:tc>
          <w:tcPr>
            <w:tcW w:w="4820" w:type="dxa"/>
            <w:tcBorders>
              <w:top w:val="single" w:sz="4" w:space="0" w:color="000000"/>
              <w:left w:val="single" w:sz="4" w:space="0" w:color="000000"/>
              <w:bottom w:val="single" w:sz="4" w:space="0" w:color="000000"/>
            </w:tcBorders>
            <w:shd w:val="clear" w:color="auto" w:fill="auto"/>
            <w:vAlign w:val="center"/>
          </w:tcPr>
          <w:p w:rsidR="00951709" w:rsidRPr="00951709" w:rsidRDefault="00F461CE" w:rsidP="00FA02E8">
            <w:pPr>
              <w:snapToGrid w:val="0"/>
              <w:spacing w:after="0" w:line="240" w:lineRule="auto"/>
              <w:jc w:val="center"/>
              <w:rPr>
                <w:rFonts w:cs="Times New Roman"/>
                <w:color w:val="FF0000"/>
              </w:rPr>
            </w:pPr>
            <w:r>
              <w:rPr>
                <w:rFonts w:cs="Times New Roman"/>
                <w:color w:val="FF0000"/>
              </w:rPr>
              <w:t>Marcin Behrendt</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951709" w:rsidRPr="00951709" w:rsidRDefault="00F461CE" w:rsidP="00FA02E8">
            <w:pPr>
              <w:snapToGrid w:val="0"/>
              <w:spacing w:after="0" w:line="240" w:lineRule="auto"/>
              <w:jc w:val="center"/>
              <w:rPr>
                <w:rFonts w:cs="Times New Roman"/>
                <w:color w:val="FF0000"/>
              </w:rPr>
            </w:pPr>
            <w:r>
              <w:rPr>
                <w:rFonts w:cs="Times New Roman"/>
                <w:color w:val="FF0000"/>
              </w:rPr>
              <w:t>Marcin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1709" w:rsidRPr="00951709" w:rsidRDefault="00F461CE" w:rsidP="00FA02E8">
            <w:pPr>
              <w:snapToGrid w:val="0"/>
              <w:spacing w:after="0" w:line="240" w:lineRule="auto"/>
              <w:jc w:val="center"/>
              <w:rPr>
                <w:rFonts w:cs="Times New Roman"/>
                <w:bCs/>
                <w:color w:val="FF0000"/>
              </w:rPr>
            </w:pPr>
            <w:r>
              <w:rPr>
                <w:rFonts w:cs="Times New Roman"/>
                <w:bCs/>
                <w:color w:val="FF0000"/>
              </w:rPr>
              <w:t>gospodarczy</w:t>
            </w:r>
          </w:p>
        </w:tc>
      </w:tr>
    </w:tbl>
    <w:p w:rsidR="0008721B" w:rsidRPr="002F21F2" w:rsidRDefault="0008721B" w:rsidP="0008721B">
      <w:pPr>
        <w:jc w:val="both"/>
        <w:rPr>
          <w:rFonts w:cs="Times New Roman"/>
          <w:i/>
          <w:sz w:val="20"/>
          <w:szCs w:val="20"/>
          <w:highlight w:val="yellow"/>
        </w:rPr>
      </w:pPr>
      <w:r w:rsidRPr="002F21F2">
        <w:rPr>
          <w:rFonts w:cs="Times New Roman"/>
          <w:i/>
          <w:sz w:val="20"/>
          <w:szCs w:val="20"/>
        </w:rPr>
        <w:t xml:space="preserve">Źródło: Biuro LGD </w:t>
      </w:r>
      <w:r w:rsidR="005F0980">
        <w:rPr>
          <w:rFonts w:cs="Times New Roman"/>
          <w:i/>
          <w:sz w:val="20"/>
          <w:szCs w:val="20"/>
        </w:rPr>
        <w:t>„</w:t>
      </w:r>
      <w:r w:rsidRPr="002F21F2">
        <w:rPr>
          <w:rFonts w:cs="Times New Roman"/>
          <w:i/>
          <w:sz w:val="20"/>
          <w:szCs w:val="20"/>
        </w:rPr>
        <w:t>Dolina Drwęcy</w:t>
      </w:r>
      <w:r w:rsidR="005F0980">
        <w:rPr>
          <w:rFonts w:cs="Times New Roman"/>
          <w:i/>
          <w:sz w:val="20"/>
          <w:szCs w:val="20"/>
        </w:rPr>
        <w:t>”</w:t>
      </w:r>
    </w:p>
    <w:p w:rsidR="00FA02E8" w:rsidRPr="00FA02E8" w:rsidRDefault="00FA02E8" w:rsidP="00C078CB">
      <w:pPr>
        <w:pStyle w:val="Legenda"/>
        <w:keepNext/>
        <w:outlineLvl w:val="0"/>
        <w:rPr>
          <w:sz w:val="20"/>
          <w:szCs w:val="20"/>
        </w:rPr>
      </w:pPr>
      <w:bookmarkStart w:id="10" w:name="_Toc439086489"/>
      <w:r w:rsidRPr="00FA02E8">
        <w:rPr>
          <w:sz w:val="20"/>
          <w:szCs w:val="20"/>
        </w:rPr>
        <w:t xml:space="preserve">Tabela </w:t>
      </w:r>
      <w:r w:rsidR="000621AC" w:rsidRPr="00FA02E8">
        <w:rPr>
          <w:sz w:val="20"/>
          <w:szCs w:val="20"/>
        </w:rPr>
        <w:fldChar w:fldCharType="begin"/>
      </w:r>
      <w:r w:rsidRPr="00FA02E8">
        <w:rPr>
          <w:sz w:val="20"/>
          <w:szCs w:val="20"/>
        </w:rPr>
        <w:instrText xml:space="preserve"> SEQ Tabela \* ARABIC </w:instrText>
      </w:r>
      <w:r w:rsidR="000621AC" w:rsidRPr="00FA02E8">
        <w:rPr>
          <w:sz w:val="20"/>
          <w:szCs w:val="20"/>
        </w:rPr>
        <w:fldChar w:fldCharType="separate"/>
      </w:r>
      <w:r w:rsidR="00B621E4">
        <w:rPr>
          <w:noProof/>
          <w:sz w:val="20"/>
          <w:szCs w:val="20"/>
        </w:rPr>
        <w:t>5</w:t>
      </w:r>
      <w:r w:rsidR="000621AC" w:rsidRPr="00FA02E8">
        <w:rPr>
          <w:sz w:val="20"/>
          <w:szCs w:val="20"/>
        </w:rPr>
        <w:fldChar w:fldCharType="end"/>
      </w:r>
      <w:r w:rsidRPr="00FA02E8">
        <w:rPr>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FA02E8"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 składu LGD</w:t>
            </w:r>
          </w:p>
        </w:tc>
      </w:tr>
      <w:tr w:rsidR="0008721B" w:rsidRPr="00E034D1"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371B8A" w:rsidRDefault="0008721B" w:rsidP="0008721B">
            <w:pPr>
              <w:snapToGrid w:val="0"/>
              <w:spacing w:after="0" w:line="240" w:lineRule="auto"/>
              <w:jc w:val="center"/>
              <w:rPr>
                <w:rFonts w:cs="Times New Roman"/>
              </w:rPr>
            </w:pPr>
            <w:r w:rsidRPr="00371B8A">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3B1DCD" w:rsidRDefault="001D3521" w:rsidP="000C1685">
            <w:pPr>
              <w:snapToGrid w:val="0"/>
              <w:spacing w:after="0" w:line="240" w:lineRule="auto"/>
              <w:jc w:val="center"/>
              <w:rPr>
                <w:rFonts w:cs="Times New Roman"/>
                <w:color w:val="FF0000"/>
              </w:rPr>
            </w:pPr>
            <w:r w:rsidRPr="003B1DCD">
              <w:rPr>
                <w:rFonts w:cs="Times New Roman"/>
                <w:strike/>
                <w:color w:val="FF0000"/>
              </w:rPr>
              <w:t>9,86%</w:t>
            </w:r>
            <w:r w:rsidR="003B1DCD">
              <w:rPr>
                <w:rFonts w:cs="Times New Roman"/>
                <w:color w:val="FF0000"/>
              </w:rPr>
              <w:t xml:space="preserve"> 9,72%</w:t>
            </w:r>
          </w:p>
        </w:tc>
      </w:tr>
      <w:tr w:rsidR="0008721B" w:rsidRPr="00E034D1"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społeczny</w:t>
            </w:r>
            <w:r w:rsidR="008B74F7">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371B8A" w:rsidRDefault="00BA2897" w:rsidP="000C1685">
            <w:pPr>
              <w:snapToGrid w:val="0"/>
              <w:spacing w:after="0" w:line="240" w:lineRule="auto"/>
              <w:jc w:val="center"/>
              <w:rPr>
                <w:rFonts w:cs="Times New Roman"/>
              </w:rPr>
            </w:pPr>
            <w:r w:rsidRPr="00371B8A">
              <w:rPr>
                <w:rFonts w:cs="Times New Roman"/>
              </w:rPr>
              <w:t>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3B1DCD" w:rsidRDefault="001D3521" w:rsidP="000C1685">
            <w:pPr>
              <w:snapToGrid w:val="0"/>
              <w:spacing w:after="0" w:line="240" w:lineRule="auto"/>
              <w:jc w:val="center"/>
              <w:rPr>
                <w:rFonts w:cs="Times New Roman"/>
                <w:color w:val="FF0000"/>
              </w:rPr>
            </w:pPr>
            <w:r w:rsidRPr="003B1DCD">
              <w:rPr>
                <w:rFonts w:cs="Times New Roman"/>
                <w:strike/>
                <w:color w:val="FF0000"/>
              </w:rPr>
              <w:t>80,28%</w:t>
            </w:r>
            <w:r w:rsidR="003B1DCD">
              <w:rPr>
                <w:rFonts w:cs="Times New Roman"/>
                <w:color w:val="FF0000"/>
              </w:rPr>
              <w:t xml:space="preserve"> 79,17%</w:t>
            </w:r>
          </w:p>
        </w:tc>
      </w:tr>
      <w:tr w:rsidR="0008721B" w:rsidRPr="00E034D1"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3B1DCD" w:rsidRDefault="001D3521" w:rsidP="0008721B">
            <w:pPr>
              <w:snapToGrid w:val="0"/>
              <w:spacing w:after="0" w:line="240" w:lineRule="auto"/>
              <w:jc w:val="center"/>
              <w:rPr>
                <w:rFonts w:cs="Times New Roman"/>
                <w:color w:val="FF0000"/>
              </w:rPr>
            </w:pPr>
            <w:r w:rsidRPr="003B1DCD">
              <w:rPr>
                <w:rFonts w:cs="Times New Roman"/>
                <w:strike/>
                <w:color w:val="FF0000"/>
              </w:rPr>
              <w:t>7</w:t>
            </w:r>
            <w:r w:rsidR="003B1DCD">
              <w:rPr>
                <w:rFonts w:cs="Times New Roman"/>
                <w:color w:val="FF0000"/>
              </w:rPr>
              <w:t xml:space="preserve"> 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3B1DCD" w:rsidRDefault="001D3521" w:rsidP="000C1685">
            <w:pPr>
              <w:snapToGrid w:val="0"/>
              <w:spacing w:after="0" w:line="240" w:lineRule="auto"/>
              <w:jc w:val="center"/>
              <w:rPr>
                <w:rFonts w:cs="Times New Roman"/>
                <w:color w:val="FF0000"/>
              </w:rPr>
            </w:pPr>
            <w:r w:rsidRPr="003B1DCD">
              <w:rPr>
                <w:rFonts w:cs="Times New Roman"/>
                <w:strike/>
                <w:color w:val="FF0000"/>
              </w:rPr>
              <w:t>9,86%</w:t>
            </w:r>
            <w:r w:rsidR="003B1DCD">
              <w:rPr>
                <w:rFonts w:cs="Times New Roman"/>
                <w:color w:val="FF0000"/>
              </w:rPr>
              <w:t xml:space="preserve"> 11,11%</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w:t>
      </w:r>
      <w:proofErr w:type="spellStart"/>
      <w:r w:rsidR="0008721B" w:rsidRPr="00B3749A">
        <w:rPr>
          <w:rFonts w:cs="Times New Roman"/>
        </w:rPr>
        <w:t>defawory</w:t>
      </w:r>
      <w:r w:rsidR="008C5319">
        <w:rPr>
          <w:rFonts w:cs="Times New Roman"/>
        </w:rPr>
        <w:t>zowanym</w:t>
      </w:r>
      <w:proofErr w:type="spellEnd"/>
      <w:r w:rsidR="008C5319">
        <w:rPr>
          <w:rFonts w:cs="Times New Roman"/>
        </w:rPr>
        <w:t>,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85715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AE5416" w:rsidRDefault="00AE5416" w:rsidP="00FA02E8">
      <w:pPr>
        <w:spacing w:after="60" w:line="240" w:lineRule="auto"/>
        <w:jc w:val="both"/>
        <w:rPr>
          <w:rFonts w:cs="Times New Roman"/>
        </w:rPr>
      </w:pPr>
    </w:p>
    <w:p w:rsidR="00C14684" w:rsidRDefault="00C14684" w:rsidP="00FA02E8">
      <w:pPr>
        <w:spacing w:after="60" w:line="240" w:lineRule="auto"/>
        <w:jc w:val="both"/>
        <w:rPr>
          <w:rFonts w:cs="Times New Roman"/>
        </w:rPr>
      </w:pPr>
    </w:p>
    <w:p w:rsidR="00C14684" w:rsidRPr="00B3749A" w:rsidRDefault="00C14684"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0621AC" w:rsidRPr="00FA02E8">
        <w:rPr>
          <w:sz w:val="20"/>
          <w:szCs w:val="20"/>
        </w:rPr>
        <w:fldChar w:fldCharType="begin"/>
      </w:r>
      <w:r w:rsidRPr="00FA02E8">
        <w:rPr>
          <w:sz w:val="20"/>
          <w:szCs w:val="20"/>
        </w:rPr>
        <w:instrText xml:space="preserve"> SEQ Tabela \* ARABIC </w:instrText>
      </w:r>
      <w:r w:rsidR="000621AC" w:rsidRPr="00FA02E8">
        <w:rPr>
          <w:sz w:val="20"/>
          <w:szCs w:val="20"/>
        </w:rPr>
        <w:fldChar w:fldCharType="separate"/>
      </w:r>
      <w:r w:rsidR="00B621E4">
        <w:rPr>
          <w:noProof/>
          <w:sz w:val="20"/>
          <w:szCs w:val="20"/>
        </w:rPr>
        <w:t>6</w:t>
      </w:r>
      <w:r w:rsidR="000621AC"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FA02E8"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 xml:space="preserve">Andrzej </w:t>
            </w:r>
            <w:proofErr w:type="spellStart"/>
            <w:r w:rsidRPr="00650DEA">
              <w:rPr>
                <w:rFonts w:cs="Arial"/>
              </w:rPr>
              <w:t>Okruciński</w:t>
            </w:r>
            <w:proofErr w:type="spellEnd"/>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Ciechocin</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E22E29" w:rsidP="00FE60E7">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B31E4D">
            <w:pPr>
              <w:spacing w:after="60" w:line="240" w:lineRule="auto"/>
              <w:rPr>
                <w:rFonts w:cs="Arial"/>
              </w:rPr>
            </w:pPr>
            <w:r w:rsidRPr="00650DEA">
              <w:rPr>
                <w:rFonts w:cs="Arial"/>
              </w:rPr>
              <w:t>sektor publiczny</w:t>
            </w:r>
            <w:r w:rsidR="00E22E29" w:rsidRPr="00650DEA">
              <w:rPr>
                <w:rFonts w:cs="Arial"/>
              </w:rPr>
              <w:t xml:space="preserve"> </w:t>
            </w:r>
          </w:p>
        </w:tc>
        <w:tc>
          <w:tcPr>
            <w:tcW w:w="2409" w:type="dxa"/>
            <w:tcBorders>
              <w:top w:val="nil"/>
              <w:left w:val="nil"/>
              <w:bottom w:val="single" w:sz="4" w:space="0" w:color="auto"/>
              <w:right w:val="single" w:sz="4" w:space="0" w:color="auto"/>
            </w:tcBorders>
            <w:vAlign w:val="center"/>
          </w:tcPr>
          <w:p w:rsidR="00FA02E8" w:rsidRPr="00650DEA" w:rsidRDefault="002630CD" w:rsidP="00FA02E8">
            <w:pPr>
              <w:spacing w:after="60" w:line="240" w:lineRule="auto"/>
              <w:rPr>
                <w:rFonts w:cs="Arial"/>
              </w:rPr>
            </w:pPr>
            <w:r w:rsidRPr="00650DEA">
              <w:rPr>
                <w:rFonts w:cs="Arial"/>
              </w:rPr>
              <w:t>Powiat Golubsko-Dobrzyński</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98422D" w:rsidP="00FA02E8">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98422D" w:rsidRPr="00650DEA">
              <w:rPr>
                <w:rFonts w:cs="Arial"/>
              </w:rPr>
              <w:t xml:space="preserve"> oraz mieszkaniec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Piątkowski Mariusz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Miasto Golub-Dobrzyń</w:t>
            </w:r>
          </w:p>
        </w:tc>
      </w:tr>
      <w:tr w:rsidR="00FA02E8"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650DEA" w:rsidP="00FA02E8">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r w:rsidR="00650DEA">
              <w:rPr>
                <w:rFonts w:cs="Arial"/>
              </w:rPr>
              <w:t xml:space="preserve"> oraz mies</w:t>
            </w:r>
            <w:r w:rsidR="00434BC7">
              <w:rPr>
                <w:rFonts w:cs="Arial"/>
              </w:rPr>
              <w:t>z</w:t>
            </w:r>
            <w:r w:rsidR="00650DEA">
              <w:rPr>
                <w:rFonts w:cs="Arial"/>
              </w:rPr>
              <w:t>kaniec</w:t>
            </w:r>
          </w:p>
        </w:tc>
        <w:tc>
          <w:tcPr>
            <w:tcW w:w="2409" w:type="dxa"/>
            <w:tcBorders>
              <w:top w:val="nil"/>
              <w:left w:val="nil"/>
              <w:bottom w:val="single" w:sz="4" w:space="0" w:color="auto"/>
              <w:right w:val="single" w:sz="4" w:space="0" w:color="auto"/>
            </w:tcBorders>
            <w:vAlign w:val="center"/>
          </w:tcPr>
          <w:p w:rsidR="00FA02E8" w:rsidRPr="00650DEA" w:rsidRDefault="00650DEA" w:rsidP="00FA02E8">
            <w:pPr>
              <w:spacing w:after="60" w:line="240" w:lineRule="auto"/>
              <w:rPr>
                <w:rFonts w:cs="Arial"/>
              </w:rPr>
            </w:pPr>
            <w:r>
              <w:rPr>
                <w:rFonts w:cs="Arial"/>
              </w:rPr>
              <w:t>-</w:t>
            </w:r>
          </w:p>
        </w:tc>
      </w:tr>
      <w:tr w:rsidR="00FA02E8"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Radomin</w:t>
            </w:r>
          </w:p>
        </w:tc>
      </w:tr>
      <w:tr w:rsidR="00FA02E8"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Kukielska</w:t>
            </w:r>
            <w:proofErr w:type="spellEnd"/>
            <w:r w:rsidRPr="00650DEA">
              <w:rPr>
                <w:rFonts w:cs="Arial"/>
              </w:rPr>
              <w:t xml:space="preserve">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Gmina Zbójno</w:t>
            </w:r>
          </w:p>
        </w:tc>
      </w:tr>
      <w:tr w:rsidR="00FA02E8"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Dziedzictwo Narodowe TE CUM ET PRO TE</w:t>
            </w:r>
          </w:p>
        </w:tc>
      </w:tr>
      <w:tr w:rsidR="00FA02E8"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Stowarzyszenie Przyjaciół Macikowa i Okolic</w:t>
            </w:r>
          </w:p>
        </w:tc>
      </w:tr>
      <w:tr w:rsidR="00FA02E8"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proofErr w:type="spellStart"/>
            <w:r w:rsidRPr="00650DEA">
              <w:rPr>
                <w:rFonts w:cs="Arial"/>
              </w:rPr>
              <w:t>Mejger</w:t>
            </w:r>
            <w:proofErr w:type="spellEnd"/>
            <w:r w:rsidRPr="00650DEA">
              <w:rPr>
                <w:rFonts w:cs="Arial"/>
              </w:rPr>
              <w:t xml:space="preserve"> Anna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73664" w:rsidRPr="00650DEA" w:rsidRDefault="00D73664"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D73664" w:rsidRPr="00650DEA" w:rsidRDefault="00D73664" w:rsidP="00FA02E8">
            <w:pPr>
              <w:spacing w:after="60" w:line="240" w:lineRule="auto"/>
              <w:rPr>
                <w:rFonts w:cs="Arial"/>
                <w:strike/>
              </w:rPr>
            </w:pPr>
            <w:r w:rsidRPr="00650DEA">
              <w:rPr>
                <w:rFonts w:cs="Arial"/>
                <w:strike/>
              </w:rPr>
              <w:t>-</w:t>
            </w:r>
          </w:p>
        </w:tc>
      </w:tr>
      <w:tr w:rsidR="00FA02E8"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FA02E8" w:rsidP="00FA02E8">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FA02E8" w:rsidRPr="00650DEA" w:rsidRDefault="00FA02E8" w:rsidP="00FA02E8">
            <w:pPr>
              <w:spacing w:after="60" w:line="240" w:lineRule="auto"/>
              <w:rPr>
                <w:rFonts w:cs="Arial"/>
              </w:rPr>
            </w:pPr>
            <w:r w:rsidRPr="00650DEA">
              <w:rPr>
                <w:rFonts w:cs="Arial"/>
              </w:rPr>
              <w:t>-</w:t>
            </w:r>
          </w:p>
        </w:tc>
      </w:tr>
      <w:tr w:rsidR="00FA02E8"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650DEA" w:rsidRDefault="00B67319" w:rsidP="00FA02E8">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FA02E8" w:rsidRPr="00650DEA" w:rsidRDefault="00B67319" w:rsidP="00FA02E8">
            <w:pPr>
              <w:spacing w:after="60" w:line="240" w:lineRule="auto"/>
              <w:rPr>
                <w:rFonts w:cs="Arial"/>
                <w:strike/>
              </w:rPr>
            </w:pPr>
            <w:r w:rsidRPr="00650DEA">
              <w:rPr>
                <w:rFonts w:cs="Arial"/>
              </w:rPr>
              <w:t xml:space="preserve">Towarzystwo Przyjaciół </w:t>
            </w:r>
            <w:proofErr w:type="spellStart"/>
            <w:r w:rsidRPr="00650DEA">
              <w:rPr>
                <w:rFonts w:cs="Arial"/>
              </w:rPr>
              <w:t>Ruża</w:t>
            </w:r>
            <w:proofErr w:type="spellEnd"/>
            <w:r w:rsidRPr="00650DEA">
              <w:rPr>
                <w:rFonts w:cs="Arial"/>
              </w:rPr>
              <w:t xml:space="preserve"> i Okolic</w:t>
            </w:r>
          </w:p>
        </w:tc>
      </w:tr>
      <w:tr w:rsidR="00FA02E8"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Szlejer Monika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Gmina Radomin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mieszkaniec</w:t>
            </w:r>
          </w:p>
        </w:tc>
        <w:tc>
          <w:tcPr>
            <w:tcW w:w="2409" w:type="dxa"/>
            <w:tcBorders>
              <w:top w:val="nil"/>
              <w:left w:val="nil"/>
              <w:bottom w:val="single" w:sz="4" w:space="0" w:color="auto"/>
              <w:right w:val="single" w:sz="4" w:space="0" w:color="auto"/>
            </w:tcBorders>
            <w:vAlign w:val="center"/>
          </w:tcPr>
          <w:p w:rsidR="00FA02E8" w:rsidRPr="00B849ED" w:rsidRDefault="00FA02E8" w:rsidP="00FA02E8">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w:t>
      </w:r>
      <w:proofErr w:type="spellStart"/>
      <w:r w:rsidRPr="00FA3848">
        <w:rPr>
          <w:rFonts w:cs="Times New Roman"/>
        </w:rPr>
        <w:t>Dz.U</w:t>
      </w:r>
      <w:proofErr w:type="spellEnd"/>
      <w:r w:rsidRPr="00FA3848">
        <w:rPr>
          <w:rFonts w:cs="Times New Roman"/>
        </w:rPr>
        <w:t>. z 2015 r., poz. 1393), ustawy z dnia 20 lutego 2015 r. o wspieraniu rozwoju obszarów wiejskich z udziałem środków Europejskiego Funduszu Rolnego na rzecz Rozwoju Obszarów Wiejskich na lata 2014-2020 (</w:t>
      </w:r>
      <w:proofErr w:type="spellStart"/>
      <w:r w:rsidRPr="00FA3848">
        <w:rPr>
          <w:rFonts w:cs="Times New Roman"/>
        </w:rPr>
        <w:t>Dz.U</w:t>
      </w:r>
      <w:proofErr w:type="spellEnd"/>
      <w:r w:rsidRPr="00FA3848">
        <w:rPr>
          <w:rFonts w:cs="Times New Roman"/>
        </w:rPr>
        <w:t>.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 xml:space="preserve">Rybackiego oraz uchylające rozporządzenie Rady (WE) nr 1083/2006 (Dz. Urz. UE L 347 z dnia 20.12.2013), </w:t>
      </w:r>
      <w:r w:rsidRPr="00FA3848">
        <w:rPr>
          <w:rFonts w:cs="Times New Roman"/>
        </w:rPr>
        <w:lastRenderedPageBreak/>
        <w:t>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w:t>
      </w:r>
      <w:proofErr w:type="spellStart"/>
      <w:r w:rsidRPr="00FA3848">
        <w:rPr>
          <w:rFonts w:cs="Times New Roman"/>
        </w:rPr>
        <w:t>Dz.Urz</w:t>
      </w:r>
      <w:proofErr w:type="spellEnd"/>
      <w:r w:rsidRPr="00FA3848">
        <w:rPr>
          <w:rFonts w:cs="Times New Roman"/>
        </w:rPr>
        <w:t>.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0621AC" w:rsidRPr="00FA02E8">
        <w:rPr>
          <w:sz w:val="20"/>
          <w:szCs w:val="20"/>
        </w:rPr>
        <w:fldChar w:fldCharType="begin"/>
      </w:r>
      <w:r w:rsidRPr="00FA02E8">
        <w:rPr>
          <w:sz w:val="20"/>
          <w:szCs w:val="20"/>
        </w:rPr>
        <w:instrText xml:space="preserve"> SEQ Tabela \* ARABIC </w:instrText>
      </w:r>
      <w:r w:rsidR="000621AC" w:rsidRPr="00FA02E8">
        <w:rPr>
          <w:sz w:val="20"/>
          <w:szCs w:val="20"/>
        </w:rPr>
        <w:fldChar w:fldCharType="separate"/>
      </w:r>
      <w:r w:rsidR="00B621E4">
        <w:rPr>
          <w:noProof/>
          <w:sz w:val="20"/>
          <w:szCs w:val="20"/>
        </w:rPr>
        <w:t>7</w:t>
      </w:r>
      <w:r w:rsidR="000621AC"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t xml:space="preserve">Regulamin </w:t>
            </w:r>
            <w:r>
              <w:rPr>
                <w:rFonts w:cs="Times New Roman"/>
              </w:rPr>
              <w:lastRenderedPageBreak/>
              <w:t>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lastRenderedPageBreak/>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lastRenderedPageBreak/>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lastRenderedPageBreak/>
              <w:t xml:space="preserve">Dokumenty: Regulaminu Zarządu </w:t>
            </w:r>
            <w:r>
              <w:rPr>
                <w:rFonts w:cs="Times New Roman"/>
              </w:rPr>
              <w:lastRenderedPageBreak/>
              <w:t xml:space="preserve">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lastRenderedPageBreak/>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2F575C">
              <w:rPr>
                <w:rFonts w:cs="Times New Roman"/>
              </w:rPr>
              <w:t>Uprawnienia Dyrektora i</w:t>
            </w:r>
            <w:r w:rsidRPr="002F575C">
              <w:rPr>
                <w:rFonts w:cs="Times New Roman"/>
                <w:color w:val="FF0000"/>
              </w:rPr>
              <w:t xml:space="preserve"> </w:t>
            </w:r>
            <w:r w:rsidRPr="002F575C">
              <w:rPr>
                <w:rFonts w:cs="Times New Roman"/>
              </w:rPr>
              <w:t>Kierownika</w:t>
            </w:r>
            <w:r w:rsidRPr="00C44A96">
              <w:rPr>
                <w:rFonts w:cs="Times New Roman"/>
              </w:rPr>
              <w:t xml:space="preserve">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r w:rsidR="001B2014">
              <w:rPr>
                <w:rFonts w:cs="Times New Roman"/>
                <w:color w:val="FF0000"/>
              </w:rPr>
              <w:t xml:space="preserve"> </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 xml:space="preserve">osoba prawna, która: działa na obszarze objętym LSR, prowadzi działalność związaną z realizacją celów stowarzyszenia, jest jednostką samorządu terytorialnego, partnerem gospodarczym lub </w:t>
      </w:r>
      <w:r w:rsidRPr="00EB0A26">
        <w:rPr>
          <w:rFonts w:cs="Times New Roman"/>
        </w:rPr>
        <w:lastRenderedPageBreak/>
        <w:t>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w:t>
      </w:r>
      <w:r w:rsidRPr="002F575C">
        <w:rPr>
          <w:rFonts w:cs="Times New Roman"/>
        </w:rPr>
        <w:t>) powoływanie i odwoływanie dyrektora biura stowarzyszenia oraz zatrudnianie innych pracowników</w:t>
      </w:r>
      <w:r w:rsidRPr="006E0F64">
        <w:rPr>
          <w:rFonts w:cs="Times New Roman"/>
        </w:rPr>
        <w:t xml:space="preserve"> biura</w:t>
      </w:r>
    </w:p>
    <w:p w:rsidR="00847A23" w:rsidRPr="006E0F64" w:rsidRDefault="00847A23" w:rsidP="00847A23">
      <w:pPr>
        <w:spacing w:after="60" w:line="240" w:lineRule="auto"/>
        <w:jc w:val="both"/>
        <w:rPr>
          <w:rFonts w:cs="Times New Roman"/>
        </w:rPr>
      </w:pPr>
      <w:r w:rsidRPr="006E0F64">
        <w:rPr>
          <w:rFonts w:cs="Times New Roman"/>
        </w:rPr>
        <w:lastRenderedPageBreak/>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 xml:space="preserve">petencji Rady należy wybór operacji zgodnie z art. 2 pkt. 9 rozporządzenia Parlamentu Europejskiego i Rady (UE) nr 1303/2013 z dnia 17 grudnia 2013 r. ustanawiające wspólne przepisy dotyczące EFRR, EFS, FS, EFRROW oraz </w:t>
      </w:r>
      <w:proofErr w:type="spellStart"/>
      <w:r w:rsidRPr="00B3749A">
        <w:rPr>
          <w:rFonts w:cs="Times New Roman"/>
        </w:rPr>
        <w:t>EFMiR</w:t>
      </w:r>
      <w:proofErr w:type="spellEnd"/>
      <w:r w:rsidRPr="00B3749A">
        <w:rPr>
          <w:rFonts w:cs="Times New Roman"/>
        </w:rPr>
        <w:t>,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w:t>
      </w:r>
      <w:proofErr w:type="spellStart"/>
      <w:r w:rsidR="00605CEE">
        <w:rPr>
          <w:rFonts w:cs="Times New Roman"/>
        </w:rPr>
        <w:t>grantobiorców</w:t>
      </w:r>
      <w:proofErr w:type="spellEnd"/>
      <w:r w:rsidR="00605CEE">
        <w:rPr>
          <w:rFonts w:cs="Times New Roman"/>
        </w:rPr>
        <w:t xml:space="preserve">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xml:space="preserve">, czyli wspomaganego komputerowo wywiadu przy pomocy strony </w:t>
      </w:r>
      <w:proofErr w:type="spellStart"/>
      <w:r>
        <w:t>www</w:t>
      </w:r>
      <w:proofErr w:type="spellEnd"/>
      <w:r>
        <w:t xml:space="preserve">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xml:space="preserve">, której celem było m.in. zdefiniowanie  grup </w:t>
      </w:r>
      <w:proofErr w:type="spellStart"/>
      <w:r w:rsidRPr="00FD365C">
        <w:t>defaworyzowanych</w:t>
      </w:r>
      <w:proofErr w:type="spellEnd"/>
      <w:r w:rsidRPr="00FD365C">
        <w:t xml:space="preserve">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w:t>
      </w:r>
      <w:proofErr w:type="spellStart"/>
      <w:r w:rsidRPr="00FD365C">
        <w:t>defaworyzowanymi</w:t>
      </w:r>
      <w:proofErr w:type="spellEnd"/>
      <w:r w:rsidRPr="00FD365C">
        <w:t xml:space="preserve">,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w:t>
      </w:r>
      <w:proofErr w:type="spellStart"/>
      <w:r w:rsidRPr="00FD365C">
        <w:t>defaworyzowanych</w:t>
      </w:r>
      <w:proofErr w:type="spellEnd"/>
      <w:r w:rsidRPr="00FD365C">
        <w:t xml:space="preserve">.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C078CB">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0621AC" w:rsidRPr="00B53AB6">
        <w:rPr>
          <w:sz w:val="20"/>
          <w:szCs w:val="20"/>
        </w:rPr>
        <w:fldChar w:fldCharType="begin"/>
      </w:r>
      <w:r w:rsidRPr="00B53AB6">
        <w:rPr>
          <w:sz w:val="20"/>
          <w:szCs w:val="20"/>
        </w:rPr>
        <w:instrText xml:space="preserve"> SEQ Tabela \* ARABIC </w:instrText>
      </w:r>
      <w:r w:rsidR="000621AC" w:rsidRPr="00B53AB6">
        <w:rPr>
          <w:sz w:val="20"/>
          <w:szCs w:val="20"/>
        </w:rPr>
        <w:fldChar w:fldCharType="separate"/>
      </w:r>
      <w:r w:rsidR="00B621E4">
        <w:rPr>
          <w:noProof/>
          <w:sz w:val="20"/>
          <w:szCs w:val="20"/>
        </w:rPr>
        <w:t>8</w:t>
      </w:r>
      <w:r w:rsidR="000621AC"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 xml:space="preserve">Województwo </w:t>
            </w:r>
            <w:proofErr w:type="spellStart"/>
            <w:r w:rsidRPr="009C4EF5">
              <w:rPr>
                <w:rFonts w:ascii="Calibri" w:hAnsi="Calibri" w:cs="Times New Roman"/>
              </w:rPr>
              <w:t>kuj.pom</w:t>
            </w:r>
            <w:proofErr w:type="spellEnd"/>
            <w:r w:rsidRPr="009C4EF5">
              <w:rPr>
                <w:rFonts w:ascii="Calibri" w:hAnsi="Calibri" w:cs="Times New Roman"/>
              </w:rPr>
              <w:t>.</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0621AC" w:rsidRPr="00B53AB6">
        <w:rPr>
          <w:sz w:val="20"/>
          <w:szCs w:val="20"/>
        </w:rPr>
        <w:fldChar w:fldCharType="begin"/>
      </w:r>
      <w:r w:rsidRPr="00B53AB6">
        <w:rPr>
          <w:sz w:val="20"/>
          <w:szCs w:val="20"/>
        </w:rPr>
        <w:instrText xml:space="preserve"> SEQ Tabela \* ARABIC </w:instrText>
      </w:r>
      <w:r w:rsidR="000621AC" w:rsidRPr="00B53AB6">
        <w:rPr>
          <w:sz w:val="20"/>
          <w:szCs w:val="20"/>
        </w:rPr>
        <w:fldChar w:fldCharType="separate"/>
      </w:r>
      <w:r w:rsidR="00B621E4">
        <w:rPr>
          <w:noProof/>
          <w:sz w:val="20"/>
          <w:szCs w:val="20"/>
        </w:rPr>
        <w:t>9</w:t>
      </w:r>
      <w:r w:rsidR="000621AC"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0621AC" w:rsidRPr="00B53AB6">
        <w:rPr>
          <w:sz w:val="20"/>
          <w:szCs w:val="20"/>
        </w:rPr>
        <w:fldChar w:fldCharType="begin"/>
      </w:r>
      <w:r w:rsidRPr="00B53AB6">
        <w:rPr>
          <w:sz w:val="20"/>
          <w:szCs w:val="20"/>
        </w:rPr>
        <w:instrText xml:space="preserve"> SEQ Tabela \* ARABIC </w:instrText>
      </w:r>
      <w:r w:rsidR="000621AC" w:rsidRPr="00B53AB6">
        <w:rPr>
          <w:sz w:val="20"/>
          <w:szCs w:val="20"/>
        </w:rPr>
        <w:fldChar w:fldCharType="separate"/>
      </w:r>
      <w:r w:rsidR="00B621E4">
        <w:rPr>
          <w:noProof/>
          <w:sz w:val="20"/>
          <w:szCs w:val="20"/>
        </w:rPr>
        <w:t>10</w:t>
      </w:r>
      <w:r w:rsidR="000621AC"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proofErr w:type="spellStart"/>
            <w:r w:rsidRPr="009C4EF5">
              <w:rPr>
                <w:rFonts w:ascii="Calibri" w:hAnsi="Calibri" w:cs="Times New Roman"/>
                <w:b/>
                <w:color w:val="FFFFFF" w:themeColor="background1"/>
              </w:rPr>
              <w:t>Wsk</w:t>
            </w:r>
            <w:proofErr w:type="spellEnd"/>
            <w:r w:rsidRPr="009C4EF5">
              <w:rPr>
                <w:rFonts w:ascii="Calibri" w:hAnsi="Calibri" w:cs="Times New Roman"/>
                <w:b/>
                <w:color w:val="FFFFFF" w:themeColor="background1"/>
              </w:rPr>
              <w:t>.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0621AC" w:rsidRPr="00B53AB6">
        <w:rPr>
          <w:sz w:val="20"/>
          <w:szCs w:val="20"/>
        </w:rPr>
        <w:fldChar w:fldCharType="begin"/>
      </w:r>
      <w:r w:rsidRPr="00B53AB6">
        <w:rPr>
          <w:sz w:val="20"/>
          <w:szCs w:val="20"/>
        </w:rPr>
        <w:instrText xml:space="preserve"> SEQ Tabela \* ARABIC </w:instrText>
      </w:r>
      <w:r w:rsidR="000621AC" w:rsidRPr="00B53AB6">
        <w:rPr>
          <w:sz w:val="20"/>
          <w:szCs w:val="20"/>
        </w:rPr>
        <w:fldChar w:fldCharType="separate"/>
      </w:r>
      <w:r w:rsidR="00B621E4">
        <w:rPr>
          <w:noProof/>
          <w:sz w:val="20"/>
          <w:szCs w:val="20"/>
        </w:rPr>
        <w:t>11</w:t>
      </w:r>
      <w:r w:rsidR="000621AC"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0621AC" w:rsidRPr="00B53AB6">
        <w:rPr>
          <w:sz w:val="20"/>
          <w:szCs w:val="20"/>
        </w:rPr>
        <w:fldChar w:fldCharType="begin"/>
      </w:r>
      <w:r w:rsidRPr="00B53AB6">
        <w:rPr>
          <w:sz w:val="20"/>
          <w:szCs w:val="20"/>
        </w:rPr>
        <w:instrText xml:space="preserve"> SEQ Tabela \* ARABIC </w:instrText>
      </w:r>
      <w:r w:rsidR="000621AC" w:rsidRPr="00B53AB6">
        <w:rPr>
          <w:sz w:val="20"/>
          <w:szCs w:val="20"/>
        </w:rPr>
        <w:fldChar w:fldCharType="separate"/>
      </w:r>
      <w:r w:rsidR="00B621E4">
        <w:rPr>
          <w:noProof/>
          <w:sz w:val="20"/>
          <w:szCs w:val="20"/>
        </w:rPr>
        <w:t>12</w:t>
      </w:r>
      <w:r w:rsidR="000621AC"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C078CB">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0621AC" w:rsidRPr="00B53AB6">
        <w:rPr>
          <w:sz w:val="20"/>
          <w:szCs w:val="20"/>
        </w:rPr>
        <w:fldChar w:fldCharType="begin"/>
      </w:r>
      <w:r w:rsidRPr="00B53AB6">
        <w:rPr>
          <w:sz w:val="20"/>
          <w:szCs w:val="20"/>
        </w:rPr>
        <w:instrText xml:space="preserve"> SEQ Tabela \* ARABIC </w:instrText>
      </w:r>
      <w:r w:rsidR="000621AC" w:rsidRPr="00B53AB6">
        <w:rPr>
          <w:sz w:val="20"/>
          <w:szCs w:val="20"/>
        </w:rPr>
        <w:fldChar w:fldCharType="separate"/>
      </w:r>
      <w:r w:rsidR="00B621E4">
        <w:rPr>
          <w:noProof/>
          <w:sz w:val="20"/>
          <w:szCs w:val="20"/>
        </w:rPr>
        <w:t>13</w:t>
      </w:r>
      <w:r w:rsidR="000621AC"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0621AC" w:rsidRPr="00B53AB6">
        <w:rPr>
          <w:sz w:val="20"/>
          <w:szCs w:val="20"/>
        </w:rPr>
        <w:fldChar w:fldCharType="begin"/>
      </w:r>
      <w:r w:rsidRPr="00B53AB6">
        <w:rPr>
          <w:sz w:val="20"/>
          <w:szCs w:val="20"/>
        </w:rPr>
        <w:instrText xml:space="preserve"> SEQ Tabela \* ARABIC </w:instrText>
      </w:r>
      <w:r w:rsidR="000621AC" w:rsidRPr="00B53AB6">
        <w:rPr>
          <w:sz w:val="20"/>
          <w:szCs w:val="20"/>
        </w:rPr>
        <w:fldChar w:fldCharType="separate"/>
      </w:r>
      <w:r w:rsidR="00B621E4">
        <w:rPr>
          <w:noProof/>
          <w:sz w:val="20"/>
          <w:szCs w:val="20"/>
        </w:rPr>
        <w:t>14</w:t>
      </w:r>
      <w:r w:rsidR="000621AC"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0621AC" w:rsidRPr="00B53AB6">
        <w:rPr>
          <w:sz w:val="20"/>
          <w:szCs w:val="20"/>
        </w:rPr>
        <w:fldChar w:fldCharType="begin"/>
      </w:r>
      <w:r w:rsidRPr="00B53AB6">
        <w:rPr>
          <w:sz w:val="20"/>
          <w:szCs w:val="20"/>
        </w:rPr>
        <w:instrText xml:space="preserve"> SEQ Tabela \* ARABIC </w:instrText>
      </w:r>
      <w:r w:rsidR="000621AC" w:rsidRPr="00B53AB6">
        <w:rPr>
          <w:sz w:val="20"/>
          <w:szCs w:val="20"/>
        </w:rPr>
        <w:fldChar w:fldCharType="separate"/>
      </w:r>
      <w:r w:rsidR="00B621E4">
        <w:rPr>
          <w:noProof/>
          <w:sz w:val="20"/>
          <w:szCs w:val="20"/>
        </w:rPr>
        <w:t>15</w:t>
      </w:r>
      <w:r w:rsidR="000621AC"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0621AC" w:rsidRPr="00B53AB6">
        <w:rPr>
          <w:sz w:val="20"/>
          <w:szCs w:val="20"/>
        </w:rPr>
        <w:fldChar w:fldCharType="begin"/>
      </w:r>
      <w:r w:rsidRPr="00B53AB6">
        <w:rPr>
          <w:sz w:val="20"/>
          <w:szCs w:val="20"/>
        </w:rPr>
        <w:instrText xml:space="preserve"> SEQ Tabela \* ARABIC </w:instrText>
      </w:r>
      <w:r w:rsidR="000621AC" w:rsidRPr="00B53AB6">
        <w:rPr>
          <w:sz w:val="20"/>
          <w:szCs w:val="20"/>
        </w:rPr>
        <w:fldChar w:fldCharType="separate"/>
      </w:r>
      <w:r w:rsidR="00B621E4">
        <w:rPr>
          <w:noProof/>
          <w:sz w:val="20"/>
          <w:szCs w:val="20"/>
        </w:rPr>
        <w:t>16</w:t>
      </w:r>
      <w:r w:rsidR="000621AC"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0621AC" w:rsidRPr="00B53AB6">
        <w:rPr>
          <w:sz w:val="20"/>
          <w:szCs w:val="20"/>
        </w:rPr>
        <w:fldChar w:fldCharType="begin"/>
      </w:r>
      <w:r w:rsidRPr="00B53AB6">
        <w:rPr>
          <w:sz w:val="20"/>
          <w:szCs w:val="20"/>
        </w:rPr>
        <w:instrText xml:space="preserve"> SEQ Tabela \* ARABIC </w:instrText>
      </w:r>
      <w:r w:rsidR="000621AC" w:rsidRPr="00B53AB6">
        <w:rPr>
          <w:sz w:val="20"/>
          <w:szCs w:val="20"/>
        </w:rPr>
        <w:fldChar w:fldCharType="separate"/>
      </w:r>
      <w:r w:rsidR="00B621E4">
        <w:rPr>
          <w:noProof/>
          <w:sz w:val="20"/>
          <w:szCs w:val="20"/>
        </w:rPr>
        <w:t>17</w:t>
      </w:r>
      <w:r w:rsidR="000621AC"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C078CB">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0621AC" w:rsidRPr="00123095">
        <w:rPr>
          <w:sz w:val="20"/>
          <w:szCs w:val="20"/>
        </w:rPr>
        <w:fldChar w:fldCharType="begin"/>
      </w:r>
      <w:r w:rsidRPr="00123095">
        <w:rPr>
          <w:sz w:val="20"/>
          <w:szCs w:val="20"/>
        </w:rPr>
        <w:instrText xml:space="preserve"> SEQ Tabela \* ARABIC </w:instrText>
      </w:r>
      <w:r w:rsidR="000621AC" w:rsidRPr="00123095">
        <w:rPr>
          <w:sz w:val="20"/>
          <w:szCs w:val="20"/>
        </w:rPr>
        <w:fldChar w:fldCharType="separate"/>
      </w:r>
      <w:r w:rsidR="00B621E4">
        <w:rPr>
          <w:noProof/>
          <w:sz w:val="20"/>
          <w:szCs w:val="20"/>
        </w:rPr>
        <w:t>18</w:t>
      </w:r>
      <w:r w:rsidR="000621AC"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0621AC" w:rsidRPr="00123095">
        <w:rPr>
          <w:sz w:val="20"/>
          <w:szCs w:val="20"/>
        </w:rPr>
        <w:fldChar w:fldCharType="begin"/>
      </w:r>
      <w:r w:rsidRPr="00123095">
        <w:rPr>
          <w:sz w:val="20"/>
          <w:szCs w:val="20"/>
        </w:rPr>
        <w:instrText xml:space="preserve"> SEQ Tabela \* ARABIC </w:instrText>
      </w:r>
      <w:r w:rsidR="000621AC" w:rsidRPr="00123095">
        <w:rPr>
          <w:sz w:val="20"/>
          <w:szCs w:val="20"/>
        </w:rPr>
        <w:fldChar w:fldCharType="separate"/>
      </w:r>
      <w:r w:rsidR="00B621E4">
        <w:rPr>
          <w:noProof/>
          <w:sz w:val="20"/>
          <w:szCs w:val="20"/>
        </w:rPr>
        <w:t>19</w:t>
      </w:r>
      <w:r w:rsidR="000621AC"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0621AC" w:rsidRPr="00123095">
        <w:rPr>
          <w:sz w:val="20"/>
          <w:szCs w:val="20"/>
        </w:rPr>
        <w:fldChar w:fldCharType="begin"/>
      </w:r>
      <w:r w:rsidRPr="00123095">
        <w:rPr>
          <w:sz w:val="20"/>
          <w:szCs w:val="20"/>
        </w:rPr>
        <w:instrText xml:space="preserve"> SEQ Tabela \* ARABIC </w:instrText>
      </w:r>
      <w:r w:rsidR="000621AC" w:rsidRPr="00123095">
        <w:rPr>
          <w:sz w:val="20"/>
          <w:szCs w:val="20"/>
        </w:rPr>
        <w:fldChar w:fldCharType="separate"/>
      </w:r>
      <w:r w:rsidR="00B621E4">
        <w:rPr>
          <w:noProof/>
          <w:sz w:val="20"/>
          <w:szCs w:val="20"/>
        </w:rPr>
        <w:t>20</w:t>
      </w:r>
      <w:r w:rsidR="000621AC"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w:t>
      </w:r>
      <w:proofErr w:type="spellStart"/>
      <w:r>
        <w:rPr>
          <w:rFonts w:ascii="Calibri" w:hAnsi="Calibri" w:cs="Times New Roman"/>
        </w:rPr>
        <w:t>mikroprzedsiębiorstwa</w:t>
      </w:r>
      <w:proofErr w:type="spellEnd"/>
      <w:r>
        <w:rPr>
          <w:rFonts w:ascii="Calibri" w:hAnsi="Calibri" w:cs="Times New Roman"/>
        </w:rPr>
        <w:t xml:space="preserve"> zatrudniające do 10 osób </w:t>
      </w:r>
      <w:r w:rsidRPr="00314B1A">
        <w:rPr>
          <w:rFonts w:ascii="Calibri" w:hAnsi="Calibri" w:cs="Times New Roman"/>
        </w:rPr>
        <w:t xml:space="preserve">(94,9% wszystkich przedsiębiorstw). Aż 36,0% </w:t>
      </w:r>
      <w:proofErr w:type="spellStart"/>
      <w:r w:rsidRPr="00314B1A">
        <w:rPr>
          <w:rFonts w:ascii="Calibri" w:hAnsi="Calibri" w:cs="Times New Roman"/>
        </w:rPr>
        <w:t>mikroprzedsiębiorstw</w:t>
      </w:r>
      <w:proofErr w:type="spellEnd"/>
      <w:r w:rsidRPr="00314B1A">
        <w:rPr>
          <w:rFonts w:ascii="Calibri" w:hAnsi="Calibri" w:cs="Times New Roman"/>
        </w:rPr>
        <w:t xml:space="preserve">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0621AC" w:rsidRPr="00123095">
        <w:rPr>
          <w:sz w:val="20"/>
          <w:szCs w:val="20"/>
        </w:rPr>
        <w:fldChar w:fldCharType="begin"/>
      </w:r>
      <w:r w:rsidRPr="00123095">
        <w:rPr>
          <w:sz w:val="20"/>
          <w:szCs w:val="20"/>
        </w:rPr>
        <w:instrText xml:space="preserve"> SEQ Tabela \* ARABIC </w:instrText>
      </w:r>
      <w:r w:rsidR="000621AC" w:rsidRPr="00123095">
        <w:rPr>
          <w:sz w:val="20"/>
          <w:szCs w:val="20"/>
        </w:rPr>
        <w:fldChar w:fldCharType="separate"/>
      </w:r>
      <w:r w:rsidR="00B621E4">
        <w:rPr>
          <w:noProof/>
          <w:sz w:val="20"/>
          <w:szCs w:val="20"/>
        </w:rPr>
        <w:t>21</w:t>
      </w:r>
      <w:r w:rsidR="000621AC"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w:t>
      </w:r>
      <w:proofErr w:type="spellStart"/>
      <w:r w:rsidRPr="008839B9">
        <w:rPr>
          <w:rFonts w:ascii="Calibri" w:hAnsi="Calibri" w:cs="Times New Roman"/>
        </w:rPr>
        <w:t>s.c</w:t>
      </w:r>
      <w:proofErr w:type="spellEnd"/>
      <w:r w:rsidRPr="008839B9">
        <w:rPr>
          <w:rFonts w:ascii="Calibri" w:hAnsi="Calibri" w:cs="Times New Roman"/>
        </w:rPr>
        <w:t>.,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w:t>
      </w:r>
      <w:proofErr w:type="spellStart"/>
      <w:r>
        <w:rPr>
          <w:rFonts w:ascii="Calibri" w:hAnsi="Calibri" w:cs="Times New Roman"/>
        </w:rPr>
        <w:t>s</w:t>
      </w:r>
      <w:r w:rsidRPr="00314B1A">
        <w:rPr>
          <w:rFonts w:ascii="Calibri" w:hAnsi="Calibri" w:cs="Times New Roman"/>
        </w:rPr>
        <w:t>j</w:t>
      </w:r>
      <w:proofErr w:type="spellEnd"/>
      <w:r w:rsidRPr="00314B1A">
        <w:rPr>
          <w:rFonts w:ascii="Calibri" w:hAnsi="Calibri" w:cs="Times New Roman"/>
        </w:rPr>
        <w:t>.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0621AC" w:rsidRPr="00123095">
        <w:rPr>
          <w:sz w:val="20"/>
          <w:szCs w:val="20"/>
        </w:rPr>
        <w:fldChar w:fldCharType="begin"/>
      </w:r>
      <w:r w:rsidRPr="00123095">
        <w:rPr>
          <w:sz w:val="20"/>
          <w:szCs w:val="20"/>
        </w:rPr>
        <w:instrText xml:space="preserve"> SEQ Tabela \* ARABIC </w:instrText>
      </w:r>
      <w:r w:rsidR="000621AC" w:rsidRPr="00123095">
        <w:rPr>
          <w:sz w:val="20"/>
          <w:szCs w:val="20"/>
        </w:rPr>
        <w:fldChar w:fldCharType="separate"/>
      </w:r>
      <w:r w:rsidR="00B621E4">
        <w:rPr>
          <w:noProof/>
          <w:sz w:val="20"/>
          <w:szCs w:val="20"/>
        </w:rPr>
        <w:t>22</w:t>
      </w:r>
      <w:r w:rsidR="000621AC"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proofErr w:type="spellStart"/>
      <w:r w:rsidRPr="00314B1A">
        <w:rPr>
          <w:rFonts w:ascii="Calibri" w:hAnsi="Calibri" w:cs="Times New Roman"/>
        </w:rPr>
        <w:lastRenderedPageBreak/>
        <w:t>wysokotowarowego</w:t>
      </w:r>
      <w:proofErr w:type="spellEnd"/>
      <w:r w:rsidRPr="00314B1A">
        <w:rPr>
          <w:rFonts w:ascii="Calibri" w:hAnsi="Calibri" w:cs="Times New Roman"/>
        </w:rPr>
        <w:t xml:space="preserve">.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 xml:space="preserve">Stały wzrost liczby przedsiębiorstw, w tym przede wszystkim </w:t>
      </w:r>
      <w:proofErr w:type="spellStart"/>
      <w:r w:rsidRPr="005333FE">
        <w:rPr>
          <w:rFonts w:ascii="Calibri" w:hAnsi="Calibri" w:cs="Times New Roman"/>
        </w:rPr>
        <w:t>mikroprzedsiębiorstw</w:t>
      </w:r>
      <w:proofErr w:type="spellEnd"/>
      <w:r w:rsidRPr="005333FE">
        <w:rPr>
          <w:rFonts w:ascii="Calibri" w:hAnsi="Calibri" w:cs="Times New Roman"/>
        </w:rPr>
        <w:t xml:space="preserve">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C078CB">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0621AC" w:rsidRPr="00123095">
        <w:rPr>
          <w:sz w:val="20"/>
          <w:szCs w:val="20"/>
        </w:rPr>
        <w:fldChar w:fldCharType="begin"/>
      </w:r>
      <w:r w:rsidRPr="00123095">
        <w:rPr>
          <w:sz w:val="20"/>
          <w:szCs w:val="20"/>
        </w:rPr>
        <w:instrText xml:space="preserve"> SEQ Tabela \* ARABIC </w:instrText>
      </w:r>
      <w:r w:rsidR="000621AC" w:rsidRPr="00123095">
        <w:rPr>
          <w:sz w:val="20"/>
          <w:szCs w:val="20"/>
        </w:rPr>
        <w:fldChar w:fldCharType="separate"/>
      </w:r>
      <w:r w:rsidR="00B621E4">
        <w:rPr>
          <w:noProof/>
          <w:sz w:val="20"/>
          <w:szCs w:val="20"/>
        </w:rPr>
        <w:t>23</w:t>
      </w:r>
      <w:r w:rsidR="000621AC"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0621AC" w:rsidRPr="00123095">
        <w:rPr>
          <w:sz w:val="20"/>
          <w:szCs w:val="20"/>
        </w:rPr>
        <w:fldChar w:fldCharType="begin"/>
      </w:r>
      <w:r w:rsidRPr="00123095">
        <w:rPr>
          <w:sz w:val="20"/>
          <w:szCs w:val="20"/>
        </w:rPr>
        <w:instrText xml:space="preserve"> SEQ Tabela \* ARABIC </w:instrText>
      </w:r>
      <w:r w:rsidR="000621AC" w:rsidRPr="00123095">
        <w:rPr>
          <w:sz w:val="20"/>
          <w:szCs w:val="20"/>
        </w:rPr>
        <w:fldChar w:fldCharType="separate"/>
      </w:r>
      <w:r w:rsidR="00B621E4">
        <w:rPr>
          <w:noProof/>
          <w:sz w:val="20"/>
          <w:szCs w:val="20"/>
        </w:rPr>
        <w:t>24</w:t>
      </w:r>
      <w:r w:rsidR="000621AC"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w:t>
      </w:r>
      <w:proofErr w:type="spellStart"/>
      <w:r>
        <w:rPr>
          <w:rFonts w:ascii="Calibri" w:hAnsi="Calibri" w:cs="Times New Roman"/>
        </w:rPr>
        <w:t>defaworyzowanych</w:t>
      </w:r>
      <w:proofErr w:type="spellEnd"/>
      <w:r>
        <w:rPr>
          <w:rFonts w:ascii="Calibri" w:hAnsi="Calibri" w:cs="Times New Roman"/>
        </w:rPr>
        <w:t xml:space="preserve">,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C078CB">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 xml:space="preserve">lice) leży w </w:t>
      </w:r>
      <w:proofErr w:type="spellStart"/>
      <w:r w:rsidR="0088497B">
        <w:rPr>
          <w:rFonts w:ascii="Calibri" w:hAnsi="Calibri" w:cs="Times New Roman"/>
        </w:rPr>
        <w:t>mezoregionie</w:t>
      </w:r>
      <w:proofErr w:type="spellEnd"/>
      <w:r w:rsidR="0088497B">
        <w:rPr>
          <w:rFonts w:ascii="Calibri" w:hAnsi="Calibri" w:cs="Times New Roman"/>
        </w:rPr>
        <w:t xml:space="preserve"> </w:t>
      </w:r>
      <w:proofErr w:type="spellStart"/>
      <w:r w:rsidR="0088497B">
        <w:rPr>
          <w:rFonts w:ascii="Calibri" w:hAnsi="Calibri" w:cs="Times New Roman"/>
        </w:rPr>
        <w:t>Doliny</w:t>
      </w:r>
      <w:proofErr w:type="spellEnd"/>
      <w:r w:rsidRPr="00314B1A">
        <w:rPr>
          <w:rFonts w:ascii="Calibri" w:hAnsi="Calibri" w:cs="Times New Roman"/>
        </w:rPr>
        <w:t xml:space="preserve"> Drwęcy, północna</w:t>
      </w:r>
      <w:r w:rsidR="0088497B">
        <w:rPr>
          <w:rFonts w:ascii="Calibri" w:hAnsi="Calibri" w:cs="Times New Roman"/>
        </w:rPr>
        <w:t xml:space="preserve"> część w </w:t>
      </w:r>
      <w:proofErr w:type="spellStart"/>
      <w:r w:rsidR="0088497B">
        <w:rPr>
          <w:rFonts w:ascii="Calibri" w:hAnsi="Calibri" w:cs="Times New Roman"/>
        </w:rPr>
        <w:t>mezoregionie</w:t>
      </w:r>
      <w:proofErr w:type="spellEnd"/>
      <w:r w:rsidR="0088497B">
        <w:rPr>
          <w:rFonts w:ascii="Calibri" w:hAnsi="Calibri" w:cs="Times New Roman"/>
        </w:rPr>
        <w:t xml:space="preserv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w:t>
      </w:r>
      <w:proofErr w:type="spellStart"/>
      <w:r w:rsidRPr="00314B1A">
        <w:rPr>
          <w:rFonts w:ascii="Calibri" w:hAnsi="Calibri" w:cs="Times New Roman"/>
        </w:rPr>
        <w:t>młodoglacjalną</w:t>
      </w:r>
      <w:proofErr w:type="spellEnd"/>
      <w:r w:rsidRPr="00314B1A">
        <w:rPr>
          <w:rFonts w:ascii="Calibri" w:hAnsi="Calibri" w:cs="Times New Roman"/>
        </w:rPr>
        <w:t xml:space="preserve">: </w:t>
      </w:r>
      <w:proofErr w:type="spellStart"/>
      <w:r w:rsidRPr="00314B1A">
        <w:rPr>
          <w:rFonts w:ascii="Calibri" w:hAnsi="Calibri" w:cs="Times New Roman"/>
        </w:rPr>
        <w:t>doliny</w:t>
      </w:r>
      <w:proofErr w:type="spellEnd"/>
      <w:r w:rsidRPr="00314B1A">
        <w:rPr>
          <w:rFonts w:ascii="Calibri" w:hAnsi="Calibri" w:cs="Times New Roman"/>
        </w:rPr>
        <w:t xml:space="preserve"> </w:t>
      </w:r>
      <w:proofErr w:type="spellStart"/>
      <w:r w:rsidRPr="00314B1A">
        <w:rPr>
          <w:rFonts w:ascii="Calibri" w:hAnsi="Calibri" w:cs="Times New Roman"/>
        </w:rPr>
        <w:t>rzeki</w:t>
      </w:r>
      <w:proofErr w:type="spellEnd"/>
      <w:r w:rsidRPr="00314B1A">
        <w:rPr>
          <w:rFonts w:ascii="Calibri" w:hAnsi="Calibri" w:cs="Times New Roman"/>
        </w:rPr>
        <w:t xml:space="preserve"> Drwęcy i </w:t>
      </w:r>
      <w:proofErr w:type="spellStart"/>
      <w:r w:rsidRPr="00314B1A">
        <w:rPr>
          <w:rFonts w:ascii="Calibri" w:hAnsi="Calibri" w:cs="Times New Roman"/>
        </w:rPr>
        <w:t>Ruźca</w:t>
      </w:r>
      <w:proofErr w:type="spellEnd"/>
      <w:r w:rsidRPr="00314B1A">
        <w:rPr>
          <w:rFonts w:ascii="Calibri" w:hAnsi="Calibri" w:cs="Times New Roman"/>
        </w:rPr>
        <w:t>,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 xml:space="preserve">Kotlina </w:t>
      </w:r>
      <w:proofErr w:type="spellStart"/>
      <w:r w:rsidRPr="00314B1A">
        <w:rPr>
          <w:rFonts w:ascii="Calibri" w:hAnsi="Calibri" w:cs="Times New Roman"/>
        </w:rPr>
        <w:t>Konstancjewska</w:t>
      </w:r>
      <w:proofErr w:type="spellEnd"/>
      <w:r>
        <w:rPr>
          <w:rFonts w:ascii="Calibri" w:hAnsi="Calibri" w:cs="Times New Roman"/>
        </w:rPr>
        <w:t xml:space="preserve"> i </w:t>
      </w:r>
      <w:r w:rsidRPr="00314B1A">
        <w:rPr>
          <w:rFonts w:ascii="Calibri" w:hAnsi="Calibri" w:cs="Times New Roman"/>
        </w:rPr>
        <w:t xml:space="preserve">Kotlina </w:t>
      </w:r>
      <w:proofErr w:type="spellStart"/>
      <w:r w:rsidRPr="00314B1A">
        <w:rPr>
          <w:rFonts w:ascii="Calibri" w:hAnsi="Calibri" w:cs="Times New Roman"/>
        </w:rPr>
        <w:t>Elgiszewska</w:t>
      </w:r>
      <w:proofErr w:type="spellEnd"/>
      <w:r w:rsidRPr="00314B1A">
        <w:rPr>
          <w:rFonts w:ascii="Calibri" w:hAnsi="Calibri" w:cs="Times New Roman"/>
        </w:rPr>
        <w:t xml:space="preserve">.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 xml:space="preserve">Rzeka Drwęca stanowi oś hydrograficzną tego terenu, a jej dopływy to: Struga Kujawska, Struga Wąbrzeska, Struga Młyńska, </w:t>
      </w:r>
      <w:proofErr w:type="spellStart"/>
      <w:r w:rsidRPr="00314B1A">
        <w:rPr>
          <w:rFonts w:ascii="Calibri" w:hAnsi="Calibri" w:cs="Times New Roman"/>
        </w:rPr>
        <w:t>Ruziec</w:t>
      </w:r>
      <w:proofErr w:type="spellEnd"/>
      <w:r w:rsidRPr="00314B1A">
        <w:rPr>
          <w:rFonts w:ascii="Calibri" w:hAnsi="Calibri" w:cs="Times New Roman"/>
        </w:rPr>
        <w:t>,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w:t>
      </w:r>
      <w:proofErr w:type="spellStart"/>
      <w:r w:rsidRPr="00314B1A">
        <w:rPr>
          <w:rFonts w:ascii="Calibri" w:hAnsi="Calibri" w:cs="Times New Roman"/>
        </w:rPr>
        <w:t>Ruziec</w:t>
      </w:r>
      <w:proofErr w:type="spellEnd"/>
      <w:r w:rsidRPr="00314B1A">
        <w:rPr>
          <w:rFonts w:ascii="Calibri" w:hAnsi="Calibri" w:cs="Times New Roman"/>
        </w:rPr>
        <w:t>,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 xml:space="preserve">II klasę (bardzo dobry). Ocena fizykochemiczna wskazała stan dobry, a stan </w:t>
      </w:r>
      <w:proofErr w:type="spellStart"/>
      <w:r w:rsidRPr="00314B1A">
        <w:rPr>
          <w:rFonts w:ascii="Calibri" w:hAnsi="Calibri" w:cs="Times New Roman"/>
        </w:rPr>
        <w:t>bakterologiczny</w:t>
      </w:r>
      <w:proofErr w:type="spellEnd"/>
      <w:r w:rsidRPr="00314B1A">
        <w:rPr>
          <w:rFonts w:ascii="Calibri" w:hAnsi="Calibri" w:cs="Times New Roman"/>
        </w:rPr>
        <w:t xml:space="preserve"> określono jako zadowalający. Na obszarze LGD znajdują się ponadto liczne jeziora (21 jezior powyżej 10ha), z czego największymi są: </w:t>
      </w:r>
      <w:proofErr w:type="spellStart"/>
      <w:r w:rsidRPr="00314B1A">
        <w:rPr>
          <w:rFonts w:ascii="Calibri" w:hAnsi="Calibri" w:cs="Times New Roman"/>
        </w:rPr>
        <w:t>Mlewi</w:t>
      </w:r>
      <w:r w:rsidR="006D65A4">
        <w:rPr>
          <w:rFonts w:ascii="Calibri" w:hAnsi="Calibri" w:cs="Times New Roman"/>
        </w:rPr>
        <w:t>e</w:t>
      </w:r>
      <w:r w:rsidRPr="00314B1A">
        <w:rPr>
          <w:rFonts w:ascii="Calibri" w:hAnsi="Calibri" w:cs="Times New Roman"/>
        </w:rPr>
        <w:t>ckie</w:t>
      </w:r>
      <w:proofErr w:type="spellEnd"/>
      <w:r w:rsidRPr="00314B1A">
        <w:rPr>
          <w:rFonts w:ascii="Calibri" w:hAnsi="Calibri" w:cs="Times New Roman"/>
        </w:rPr>
        <w:t xml:space="preserv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w:t>
      </w:r>
      <w:proofErr w:type="spellStart"/>
      <w:r w:rsidRPr="00314B1A">
        <w:rPr>
          <w:rFonts w:ascii="Calibri" w:hAnsi="Calibri" w:cs="Times New Roman"/>
        </w:rPr>
        <w:t>ostronosym</w:t>
      </w:r>
      <w:proofErr w:type="spellEnd"/>
      <w:r w:rsidRPr="00314B1A">
        <w:rPr>
          <w:rFonts w:ascii="Calibri" w:hAnsi="Calibri" w:cs="Times New Roman"/>
        </w:rPr>
        <w:t xml:space="preserve">,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 xml:space="preserve">Obszar LGD charakteryzuje stosunkowo zróżnicowany krajobraz </w:t>
      </w:r>
      <w:proofErr w:type="spellStart"/>
      <w:r w:rsidRPr="005333FE">
        <w:rPr>
          <w:rFonts w:ascii="Calibri" w:hAnsi="Calibri" w:cs="Times New Roman"/>
        </w:rPr>
        <w:t>młodoglacjalny</w:t>
      </w:r>
      <w:proofErr w:type="spellEnd"/>
      <w:r w:rsidRPr="005333FE">
        <w:rPr>
          <w:rFonts w:ascii="Calibri" w:hAnsi="Calibri" w:cs="Times New Roman"/>
        </w:rPr>
        <w:t>,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C078CB">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 xml:space="preserve">Łodzi. W dziale etnograficznym zgromadzono XIX-wieczne zabytki kultury materialnej z terenu ziemi dobrzyńskiej, np. kompletny warsztat </w:t>
      </w:r>
      <w:proofErr w:type="spellStart"/>
      <w:r w:rsidRPr="00314B1A">
        <w:rPr>
          <w:rFonts w:ascii="Calibri" w:hAnsi="Calibri" w:cs="Times New Roman"/>
        </w:rPr>
        <w:t>gancarski</w:t>
      </w:r>
      <w:proofErr w:type="spellEnd"/>
      <w:r w:rsidRPr="00314B1A">
        <w:rPr>
          <w:rFonts w:ascii="Calibri" w:hAnsi="Calibri" w:cs="Times New Roman"/>
        </w:rPr>
        <w:t>,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 xml:space="preserve">miejscowym Biurem Obsługi Ruchu Turystycznego organizowane są imprezy/wydarzenia kulturalne o randze krajowej oraz międzynarodowej - Wielkie Turnieje Rycerskie, Krajowe Konkursy Krasomówcze dla przewodników PTTK i młodzieży, Golubskie </w:t>
      </w:r>
      <w:proofErr w:type="spellStart"/>
      <w:r w:rsidRPr="00314B1A">
        <w:rPr>
          <w:rFonts w:ascii="Calibri" w:hAnsi="Calibri" w:cs="Times New Roman"/>
        </w:rPr>
        <w:t>Hubertusy</w:t>
      </w:r>
      <w:proofErr w:type="spellEnd"/>
      <w:r w:rsidRPr="00314B1A">
        <w:rPr>
          <w:rFonts w:ascii="Calibri" w:hAnsi="Calibri" w:cs="Times New Roman"/>
        </w:rPr>
        <w:t xml:space="preserve">,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w:t>
      </w:r>
      <w:proofErr w:type="spellStart"/>
      <w:r w:rsidRPr="00314B1A">
        <w:rPr>
          <w:rFonts w:ascii="Calibri" w:hAnsi="Calibri" w:cs="Times New Roman"/>
        </w:rPr>
        <w:t>kusznicze</w:t>
      </w:r>
      <w:proofErr w:type="spellEnd"/>
      <w:r w:rsidRPr="00314B1A">
        <w:rPr>
          <w:rFonts w:ascii="Calibri" w:hAnsi="Calibri" w:cs="Times New Roman"/>
        </w:rPr>
        <w:t xml:space="preserv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C078CB">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i restauracja </w:t>
      </w:r>
      <w:proofErr w:type="spellStart"/>
      <w:r w:rsidRPr="00314B1A">
        <w:rPr>
          <w:rFonts w:ascii="Calibri" w:hAnsi="Calibri" w:cs="Times New Roman"/>
        </w:rPr>
        <w:t>Vabank</w:t>
      </w:r>
      <w:proofErr w:type="spellEnd"/>
      <w:r w:rsidRPr="00314B1A">
        <w:rPr>
          <w:rFonts w:ascii="Calibri" w:hAnsi="Calibri" w:cs="Times New Roman"/>
        </w:rPr>
        <w:t xml:space="preserve">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t>
      </w:r>
      <w:proofErr w:type="spellStart"/>
      <w:r w:rsidRPr="00314B1A">
        <w:rPr>
          <w:rFonts w:ascii="Calibri" w:hAnsi="Calibri" w:cs="Times New Roman"/>
        </w:rPr>
        <w:t>Wellness&amp;Spa</w:t>
      </w:r>
      <w:proofErr w:type="spellEnd"/>
      <w:r w:rsidRPr="00314B1A">
        <w:rPr>
          <w:rFonts w:ascii="Calibri" w:hAnsi="Calibri" w:cs="Times New Roman"/>
        </w:rPr>
        <w:t xml:space="preserve">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w:t>
      </w:r>
      <w:proofErr w:type="spellStart"/>
      <w:r w:rsidRPr="00314B1A">
        <w:rPr>
          <w:rFonts w:ascii="Calibri" w:hAnsi="Calibri" w:cs="Times New Roman"/>
        </w:rPr>
        <w:t>Angelzentrum</w:t>
      </w:r>
      <w:proofErr w:type="spellEnd"/>
      <w:r w:rsidRPr="00314B1A">
        <w:rPr>
          <w:rFonts w:ascii="Calibri" w:hAnsi="Calibri" w:cs="Times New Roman"/>
        </w:rPr>
        <w:t>"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0621AC" w:rsidRPr="001D423A">
        <w:rPr>
          <w:sz w:val="20"/>
          <w:szCs w:val="20"/>
        </w:rPr>
        <w:fldChar w:fldCharType="begin"/>
      </w:r>
      <w:r w:rsidRPr="001D423A">
        <w:rPr>
          <w:sz w:val="20"/>
          <w:szCs w:val="20"/>
        </w:rPr>
        <w:instrText xml:space="preserve"> SEQ Tabela \* ARABIC </w:instrText>
      </w:r>
      <w:r w:rsidR="000621AC" w:rsidRPr="001D423A">
        <w:rPr>
          <w:sz w:val="20"/>
          <w:szCs w:val="20"/>
        </w:rPr>
        <w:fldChar w:fldCharType="separate"/>
      </w:r>
      <w:r w:rsidR="00B621E4">
        <w:rPr>
          <w:noProof/>
          <w:sz w:val="20"/>
          <w:szCs w:val="20"/>
        </w:rPr>
        <w:t>25</w:t>
      </w:r>
      <w:r w:rsidR="000621AC"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t>
            </w:r>
            <w:proofErr w:type="spellStart"/>
            <w:r w:rsidRPr="009C4EF5">
              <w:rPr>
                <w:rFonts w:ascii="Calibri" w:hAnsi="Calibri" w:cs="Times New Roman"/>
              </w:rPr>
              <w:t>wsk</w:t>
            </w:r>
            <w:proofErr w:type="spellEnd"/>
            <w:r w:rsidRPr="009C4EF5">
              <w:rPr>
                <w:rFonts w:ascii="Calibri" w:hAnsi="Calibri" w:cs="Times New Roman"/>
              </w:rPr>
              <w:t>.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 xml:space="preserve">Szlak pielgrzymkowy </w:t>
      </w:r>
      <w:proofErr w:type="spellStart"/>
      <w:r w:rsidRPr="001D423A">
        <w:rPr>
          <w:rFonts w:ascii="Calibri" w:hAnsi="Calibri" w:cs="Times New Roman"/>
        </w:rPr>
        <w:t>Camino</w:t>
      </w:r>
      <w:proofErr w:type="spellEnd"/>
      <w:r w:rsidRPr="001D423A">
        <w:rPr>
          <w:rFonts w:ascii="Calibri" w:hAnsi="Calibri" w:cs="Times New Roman"/>
        </w:rPr>
        <w:t xml:space="preserve"> </w:t>
      </w:r>
      <w:proofErr w:type="spellStart"/>
      <w:r w:rsidRPr="001D423A">
        <w:rPr>
          <w:rFonts w:ascii="Calibri" w:hAnsi="Calibri" w:cs="Times New Roman"/>
        </w:rPr>
        <w:t>Polaco</w:t>
      </w:r>
      <w:proofErr w:type="spellEnd"/>
      <w:r w:rsidRPr="001D423A">
        <w:rPr>
          <w:rFonts w:ascii="Calibri" w:hAnsi="Calibri" w:cs="Times New Roman"/>
        </w:rPr>
        <w:t xml:space="preserve">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w:t>
      </w:r>
      <w:proofErr w:type="spellStart"/>
      <w:r w:rsidRPr="00314B1A">
        <w:rPr>
          <w:rFonts w:ascii="Calibri" w:hAnsi="Calibri" w:cs="Times New Roman"/>
        </w:rPr>
        <w:t>Złotorii</w:t>
      </w:r>
      <w:proofErr w:type="spellEnd"/>
      <w:r w:rsidRPr="00314B1A">
        <w:rPr>
          <w:rFonts w:ascii="Calibri" w:hAnsi="Calibri" w:cs="Times New Roman"/>
        </w:rPr>
        <w:t xml:space="preserve"> (pod Toruniem) o łącznej długości 211,3 </w:t>
      </w:r>
      <w:proofErr w:type="spellStart"/>
      <w:r w:rsidRPr="00314B1A">
        <w:rPr>
          <w:rFonts w:ascii="Calibri" w:hAnsi="Calibri" w:cs="Times New Roman"/>
        </w:rPr>
        <w:t>km</w:t>
      </w:r>
      <w:proofErr w:type="spellEnd"/>
      <w:r w:rsidRPr="00314B1A">
        <w:rPr>
          <w:rFonts w:ascii="Calibri" w:hAnsi="Calibri" w:cs="Times New Roman"/>
        </w:rPr>
        <w:t>.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w:t>
      </w:r>
      <w:proofErr w:type="spellStart"/>
      <w:r w:rsidRPr="00314B1A">
        <w:rPr>
          <w:rFonts w:ascii="Calibri" w:hAnsi="Calibri" w:cs="Times New Roman"/>
        </w:rPr>
        <w:t>Owieczkowo</w:t>
      </w:r>
      <w:proofErr w:type="spellEnd"/>
      <w:r w:rsidRPr="00314B1A">
        <w:rPr>
          <w:rFonts w:ascii="Calibri" w:hAnsi="Calibri" w:cs="Times New Roman"/>
        </w:rPr>
        <w:t xml:space="preserve">).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C078CB">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0621AC" w:rsidRPr="001D423A">
        <w:rPr>
          <w:sz w:val="20"/>
          <w:szCs w:val="20"/>
        </w:rPr>
        <w:fldChar w:fldCharType="begin"/>
      </w:r>
      <w:r w:rsidRPr="001D423A">
        <w:rPr>
          <w:sz w:val="20"/>
          <w:szCs w:val="20"/>
        </w:rPr>
        <w:instrText xml:space="preserve"> SEQ Tabela \* ARABIC </w:instrText>
      </w:r>
      <w:r w:rsidR="000621AC" w:rsidRPr="001D423A">
        <w:rPr>
          <w:sz w:val="20"/>
          <w:szCs w:val="20"/>
        </w:rPr>
        <w:fldChar w:fldCharType="separate"/>
      </w:r>
      <w:r w:rsidR="00B621E4">
        <w:rPr>
          <w:noProof/>
          <w:sz w:val="20"/>
          <w:szCs w:val="20"/>
        </w:rPr>
        <w:t>26</w:t>
      </w:r>
      <w:r w:rsidR="000621AC"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88497B">
      <w:pPr>
        <w:pStyle w:val="Nagwek2"/>
        <w:spacing w:after="120"/>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0621AC" w:rsidRPr="001D423A">
        <w:rPr>
          <w:sz w:val="20"/>
          <w:szCs w:val="20"/>
        </w:rPr>
        <w:fldChar w:fldCharType="begin"/>
      </w:r>
      <w:r w:rsidRPr="001D423A">
        <w:rPr>
          <w:sz w:val="20"/>
          <w:szCs w:val="20"/>
        </w:rPr>
        <w:instrText xml:space="preserve"> SEQ Tabela \* ARABIC </w:instrText>
      </w:r>
      <w:r w:rsidR="000621AC" w:rsidRPr="001D423A">
        <w:rPr>
          <w:sz w:val="20"/>
          <w:szCs w:val="20"/>
        </w:rPr>
        <w:fldChar w:fldCharType="separate"/>
      </w:r>
      <w:r w:rsidR="00B621E4">
        <w:rPr>
          <w:noProof/>
          <w:sz w:val="20"/>
          <w:szCs w:val="20"/>
        </w:rPr>
        <w:t>27</w:t>
      </w:r>
      <w:r w:rsidR="000621AC"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lastRenderedPageBreak/>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w:t>
      </w:r>
      <w:proofErr w:type="spellStart"/>
      <w:r w:rsidRPr="0072289F">
        <w:rPr>
          <w:rFonts w:ascii="Calibri" w:hAnsi="Calibri" w:cs="Times New Roman"/>
        </w:rPr>
        <w:t>Rudawiu</w:t>
      </w:r>
      <w:proofErr w:type="spellEnd"/>
      <w:r w:rsidRPr="0072289F">
        <w:rPr>
          <w:rFonts w:ascii="Calibri" w:hAnsi="Calibri" w:cs="Times New Roman"/>
        </w:rPr>
        <w:t xml:space="preserve">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 xml:space="preserve">nawierzchni bitumicznej i gruntowej o łącznej długości 248 </w:t>
      </w:r>
      <w:proofErr w:type="spellStart"/>
      <w:r w:rsidRPr="00314B1A">
        <w:rPr>
          <w:rFonts w:ascii="Calibri" w:hAnsi="Calibri" w:cs="Times New Roman"/>
        </w:rPr>
        <w:t>km</w:t>
      </w:r>
      <w:proofErr w:type="spellEnd"/>
      <w:r w:rsidRPr="00314B1A">
        <w:rPr>
          <w:rFonts w:ascii="Calibri" w:hAnsi="Calibri" w:cs="Times New Roman"/>
        </w:rPr>
        <w:t>.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 xml:space="preserve">(dojazd do autostrady z Golubia-Dobrzynia to ok. 20-30 min.). Ponad 63% długości dróg powiatowych wykazuje stan techniczny dobry lub bardzo dobry, a tylko 10% wykazuje stan zły lub bardzo zły (wg danych </w:t>
      </w:r>
      <w:proofErr w:type="spellStart"/>
      <w:r w:rsidRPr="00314B1A">
        <w:rPr>
          <w:rFonts w:ascii="Calibri" w:hAnsi="Calibri" w:cs="Times New Roman"/>
        </w:rPr>
        <w:t>PZDiT</w:t>
      </w:r>
      <w:proofErr w:type="spellEnd"/>
      <w:r w:rsidRPr="00314B1A">
        <w:rPr>
          <w:rFonts w:ascii="Calibri" w:hAnsi="Calibri" w:cs="Times New Roman"/>
        </w:rPr>
        <w:t xml:space="preserve">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0621AC" w:rsidRPr="001D423A">
        <w:rPr>
          <w:sz w:val="20"/>
          <w:szCs w:val="20"/>
        </w:rPr>
        <w:fldChar w:fldCharType="begin"/>
      </w:r>
      <w:r w:rsidRPr="001D423A">
        <w:rPr>
          <w:sz w:val="20"/>
          <w:szCs w:val="20"/>
        </w:rPr>
        <w:instrText xml:space="preserve"> SEQ Tabela \* ARABIC </w:instrText>
      </w:r>
      <w:r w:rsidR="000621AC" w:rsidRPr="001D423A">
        <w:rPr>
          <w:sz w:val="20"/>
          <w:szCs w:val="20"/>
        </w:rPr>
        <w:fldChar w:fldCharType="separate"/>
      </w:r>
      <w:r w:rsidR="00B621E4">
        <w:rPr>
          <w:noProof/>
          <w:sz w:val="20"/>
          <w:szCs w:val="20"/>
        </w:rPr>
        <w:t>28</w:t>
      </w:r>
      <w:r w:rsidR="000621AC"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w:t>
            </w:r>
            <w:proofErr w:type="spellStart"/>
            <w:r w:rsidR="001360F5">
              <w:rPr>
                <w:rFonts w:ascii="Calibri" w:hAnsi="Calibri" w:cs="Times New Roman"/>
              </w:rPr>
              <w:t>Owieczkowo</w:t>
            </w:r>
            <w:proofErr w:type="spellEnd"/>
            <w:r w:rsidR="001360F5">
              <w:rPr>
                <w:rFonts w:ascii="Calibri" w:hAnsi="Calibri" w:cs="Times New Roman"/>
              </w:rPr>
              <w:t xml:space="preserve">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0621AC" w:rsidRPr="00693EBA">
        <w:rPr>
          <w:sz w:val="20"/>
          <w:szCs w:val="20"/>
        </w:rPr>
        <w:fldChar w:fldCharType="begin"/>
      </w:r>
      <w:r w:rsidRPr="00693EBA">
        <w:rPr>
          <w:sz w:val="20"/>
          <w:szCs w:val="20"/>
        </w:rPr>
        <w:instrText xml:space="preserve"> SEQ Tabela \* ARABIC </w:instrText>
      </w:r>
      <w:r w:rsidR="000621AC" w:rsidRPr="00693EBA">
        <w:rPr>
          <w:sz w:val="20"/>
          <w:szCs w:val="20"/>
        </w:rPr>
        <w:fldChar w:fldCharType="separate"/>
      </w:r>
      <w:r w:rsidR="00B621E4">
        <w:rPr>
          <w:noProof/>
          <w:sz w:val="20"/>
          <w:szCs w:val="20"/>
        </w:rPr>
        <w:t>29</w:t>
      </w:r>
      <w:r w:rsidR="000621AC"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 xml:space="preserve">Odsetek dzieci w wieku 3-5 lat objętych </w:t>
            </w:r>
            <w:proofErr w:type="spellStart"/>
            <w:r w:rsidRPr="00693EBA">
              <w:rPr>
                <w:rFonts w:ascii="Calibri" w:hAnsi="Calibri" w:cs="Times New Roman"/>
                <w:b/>
                <w:color w:val="FFFFFF" w:themeColor="background1"/>
              </w:rPr>
              <w:t>wychow</w:t>
            </w:r>
            <w:proofErr w:type="spellEnd"/>
            <w:r w:rsidRPr="00693EBA">
              <w:rPr>
                <w:rFonts w:ascii="Calibri" w:hAnsi="Calibri" w:cs="Times New Roman"/>
                <w:b/>
                <w:color w:val="FFFFFF" w:themeColor="background1"/>
              </w:rPr>
              <w:t>.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 xml:space="preserve">Woj. </w:t>
            </w:r>
            <w:proofErr w:type="spellStart"/>
            <w:r w:rsidRPr="00693EBA">
              <w:rPr>
                <w:rFonts w:ascii="Calibri" w:hAnsi="Calibri" w:cs="Times New Roman"/>
                <w:b/>
              </w:rPr>
              <w:t>kuj.-pom</w:t>
            </w:r>
            <w:proofErr w:type="spellEnd"/>
            <w:r w:rsidRPr="00693EBA">
              <w:rPr>
                <w:rFonts w:ascii="Calibri" w:hAnsi="Calibri" w:cs="Times New Roman"/>
                <w:b/>
              </w:rPr>
              <w:t>.</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w:t>
      </w:r>
      <w:r w:rsidRPr="00314B1A">
        <w:rPr>
          <w:rFonts w:ascii="Calibri" w:hAnsi="Calibri" w:cs="Times New Roman"/>
        </w:rPr>
        <w:lastRenderedPageBreak/>
        <w:t xml:space="preserve">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C078CB">
      <w:pPr>
        <w:pStyle w:val="Nagwek2"/>
      </w:pPr>
      <w:bookmarkStart w:id="49" w:name="_Toc438459060"/>
      <w:r w:rsidRPr="00CE279F">
        <w:t xml:space="preserve">Grupy </w:t>
      </w:r>
      <w:proofErr w:type="spellStart"/>
      <w:r w:rsidRPr="00CE279F">
        <w:t>defaworyzowane</w:t>
      </w:r>
      <w:bookmarkEnd w:id="49"/>
      <w:proofErr w:type="spellEnd"/>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 xml:space="preserve">Osoby z </w:t>
      </w:r>
      <w:proofErr w:type="spellStart"/>
      <w:r w:rsidRPr="00435F75">
        <w:rPr>
          <w:rFonts w:cs="Times New Roman"/>
          <w:b/>
        </w:rPr>
        <w:t>niepełnosprawnościami</w:t>
      </w:r>
      <w:proofErr w:type="spellEnd"/>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 xml:space="preserve">Obawy przedsiębiorców w zakresie zatrudnienia osób z </w:t>
      </w:r>
      <w:proofErr w:type="spellStart"/>
      <w:r>
        <w:rPr>
          <w:rFonts w:cs="Times New Roman"/>
        </w:rPr>
        <w:t>niepełnosprawnościami</w:t>
      </w:r>
      <w:proofErr w:type="spellEnd"/>
      <w:r>
        <w:rPr>
          <w:rFonts w:cs="Times New Roman"/>
        </w:rPr>
        <w:t xml:space="preserve">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 xml:space="preserve">Wszystkie te czynniki wpływają na </w:t>
      </w:r>
      <w:proofErr w:type="spellStart"/>
      <w:r>
        <w:rPr>
          <w:rFonts w:cs="Times New Roman"/>
        </w:rPr>
        <w:t>defaworyzowanie</w:t>
      </w:r>
      <w:proofErr w:type="spellEnd"/>
      <w:r>
        <w:rPr>
          <w:rFonts w:cs="Times New Roman"/>
        </w:rPr>
        <w:t xml:space="preserve"> osób niepełnosprawnyc</w:t>
      </w:r>
      <w:r w:rsidR="002F50C9">
        <w:rPr>
          <w:rFonts w:cs="Times New Roman"/>
        </w:rPr>
        <w:t>h w dostępie do rynku pracy, co </w:t>
      </w:r>
      <w:r>
        <w:rPr>
          <w:rFonts w:cs="Times New Roman"/>
        </w:rPr>
        <w:t xml:space="preserve">wymaga podjęcia dodatkowych działań wpływających na zwiększenie aktywizacji społecznej i gospodarczej osób z </w:t>
      </w:r>
      <w:proofErr w:type="spellStart"/>
      <w:r>
        <w:rPr>
          <w:rFonts w:cs="Times New Roman"/>
        </w:rPr>
        <w:t>niepełnosprawnościami</w:t>
      </w:r>
      <w:proofErr w:type="spellEnd"/>
      <w:r>
        <w:rPr>
          <w:rFonts w:cs="Times New Roman"/>
        </w:rPr>
        <w:t>.</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0621AC" w:rsidRPr="00435F75">
        <w:rPr>
          <w:sz w:val="20"/>
          <w:szCs w:val="20"/>
        </w:rPr>
        <w:fldChar w:fldCharType="begin"/>
      </w:r>
      <w:r w:rsidRPr="00435F75">
        <w:rPr>
          <w:sz w:val="20"/>
          <w:szCs w:val="20"/>
        </w:rPr>
        <w:instrText xml:space="preserve"> SEQ Tabela \* ARABIC </w:instrText>
      </w:r>
      <w:r w:rsidR="000621AC" w:rsidRPr="00435F75">
        <w:rPr>
          <w:sz w:val="20"/>
          <w:szCs w:val="20"/>
        </w:rPr>
        <w:fldChar w:fldCharType="separate"/>
      </w:r>
      <w:r w:rsidR="00B621E4">
        <w:rPr>
          <w:noProof/>
          <w:sz w:val="20"/>
          <w:szCs w:val="20"/>
        </w:rPr>
        <w:t>30</w:t>
      </w:r>
      <w:r w:rsidR="000621AC" w:rsidRPr="00435F75">
        <w:rPr>
          <w:sz w:val="20"/>
          <w:szCs w:val="20"/>
        </w:rPr>
        <w:fldChar w:fldCharType="end"/>
      </w:r>
      <w:r w:rsidRPr="00435F75">
        <w:rPr>
          <w:sz w:val="20"/>
          <w:szCs w:val="20"/>
        </w:rPr>
        <w:t xml:space="preserve"> </w:t>
      </w:r>
      <w:r>
        <w:rPr>
          <w:sz w:val="20"/>
          <w:szCs w:val="20"/>
        </w:rPr>
        <w:t>G</w:t>
      </w:r>
      <w:r w:rsidRPr="00435F75">
        <w:rPr>
          <w:sz w:val="20"/>
          <w:szCs w:val="20"/>
        </w:rPr>
        <w:t xml:space="preserve">rupy </w:t>
      </w:r>
      <w:proofErr w:type="spellStart"/>
      <w:r w:rsidRPr="00435F75">
        <w:rPr>
          <w:sz w:val="20"/>
          <w:szCs w:val="20"/>
        </w:rPr>
        <w:t>defaworyzowane</w:t>
      </w:r>
      <w:proofErr w:type="spellEnd"/>
      <w:r w:rsidRPr="00435F75">
        <w:rPr>
          <w:sz w:val="20"/>
          <w:szCs w:val="20"/>
        </w:rPr>
        <w:t xml:space="preserv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 xml:space="preserve">Grupy </w:t>
            </w:r>
            <w:proofErr w:type="spellStart"/>
            <w:r w:rsidRPr="00435F75">
              <w:rPr>
                <w:rFonts w:cs="Times New Roman"/>
                <w:b/>
                <w:color w:val="FFFFFF" w:themeColor="background1"/>
              </w:rPr>
              <w:t>defaworyzowane</w:t>
            </w:r>
            <w:proofErr w:type="spellEnd"/>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 xml:space="preserve">osoby z </w:t>
            </w:r>
            <w:proofErr w:type="spellStart"/>
            <w:r w:rsidRPr="00A6484C">
              <w:rPr>
                <w:rFonts w:cs="Times New Roman"/>
              </w:rPr>
              <w:t>niepełnosprawnościami</w:t>
            </w:r>
            <w:proofErr w:type="spellEnd"/>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 xml:space="preserve">Preferencje przy wyborze wniosków na przedsięwzięcia planujące zatrudnienie osób z grup </w:t>
            </w:r>
            <w:proofErr w:type="spellStart"/>
            <w:r>
              <w:rPr>
                <w:rFonts w:cs="Times New Roman"/>
              </w:rPr>
              <w:t>defaworyzowanych</w:t>
            </w:r>
            <w:proofErr w:type="spellEnd"/>
            <w:r>
              <w:rPr>
                <w:rFonts w:cs="Times New Roman"/>
              </w:rPr>
              <w:t xml:space="preserve">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435F75" w:rsidRPr="00CA0A70" w:rsidRDefault="00435F75" w:rsidP="00435F75">
      <w:pPr>
        <w:pStyle w:val="Akapitzlist"/>
        <w:ind w:left="0"/>
        <w:jc w:val="both"/>
        <w:rPr>
          <w:rFonts w:cs="Times New Roman"/>
          <w:i/>
          <w:sz w:val="20"/>
          <w:szCs w:val="20"/>
        </w:rPr>
      </w:pPr>
      <w:r w:rsidRPr="00CA0A70">
        <w:rPr>
          <w:rFonts w:cs="Times New Roman"/>
          <w:i/>
          <w:sz w:val="20"/>
          <w:szCs w:val="20"/>
        </w:rPr>
        <w:t>Źródło: opracowanie własne</w:t>
      </w:r>
    </w:p>
    <w:p w:rsidR="00F30904" w:rsidRPr="00F30904" w:rsidRDefault="00F30904" w:rsidP="00F30904">
      <w:pPr>
        <w:spacing w:after="0" w:line="240" w:lineRule="auto"/>
      </w:pPr>
    </w:p>
    <w:p w:rsidR="00047E0A" w:rsidRDefault="00047E0A" w:rsidP="00C078CB">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opracowanymi, przez gminy wchodzące w skład LGD </w:t>
      </w:r>
      <w:r w:rsidR="00013204">
        <w:rPr>
          <w:rFonts w:ascii="Calibri" w:hAnsi="Calibri" w:cs="Times New Roman"/>
          <w:b/>
        </w:rPr>
        <w:t>"</w:t>
      </w:r>
      <w:r w:rsidRPr="008B7B19">
        <w:rPr>
          <w:rFonts w:ascii="Calibri" w:hAnsi="Calibri" w:cs="Times New Roman"/>
          <w:b/>
        </w:rPr>
        <w:t>Dolina Drwęcy</w:t>
      </w:r>
      <w:r w:rsidR="00013204">
        <w:rPr>
          <w:rFonts w:ascii="Calibri" w:hAnsi="Calibri" w:cs="Times New Roman"/>
          <w:b/>
        </w:rPr>
        <w:t>"</w:t>
      </w:r>
      <w:r w:rsidRPr="008B7B19">
        <w:rPr>
          <w:rFonts w:ascii="Calibri" w:hAnsi="Calibri" w:cs="Times New Roman"/>
          <w:b/>
        </w:rPr>
        <w:t xml:space="preserve">, </w:t>
      </w:r>
      <w:r w:rsidRPr="00CE065F">
        <w:rPr>
          <w:rFonts w:ascii="Calibri" w:hAnsi="Calibri" w:cs="Times New Roman"/>
          <w:b/>
        </w:rPr>
        <w:t xml:space="preserve">Gminnymi </w:t>
      </w:r>
      <w:r w:rsidR="00BC6ED0" w:rsidRPr="00CE065F">
        <w:rPr>
          <w:rFonts w:ascii="Calibri" w:hAnsi="Calibri" w:cs="Times New Roman"/>
          <w:b/>
        </w:rPr>
        <w:t>/ Lokalnymi</w:t>
      </w:r>
      <w:r w:rsidR="00BC6ED0">
        <w:rPr>
          <w:rFonts w:ascii="Calibri" w:hAnsi="Calibri" w:cs="Times New Roman"/>
          <w:b/>
          <w:color w:val="FF0000"/>
        </w:rPr>
        <w:t xml:space="preserve"> </w:t>
      </w:r>
      <w:r w:rsidRPr="008B7B19">
        <w:rPr>
          <w:rFonts w:ascii="Calibri" w:hAnsi="Calibri" w:cs="Times New Roman"/>
          <w:b/>
        </w:rPr>
        <w:t>Programami Rewitalizacji.</w:t>
      </w:r>
    </w:p>
    <w:p w:rsidR="00CA0A70" w:rsidRPr="00CA0A70" w:rsidRDefault="00CA0A70" w:rsidP="00CA0A70">
      <w:pPr>
        <w:spacing w:after="0" w:line="240" w:lineRule="auto"/>
      </w:pP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proofErr w:type="spellStart"/>
      <w:r w:rsidR="00805911" w:rsidRPr="00805911">
        <w:rPr>
          <w:i/>
        </w:rPr>
        <w:t>strenghts</w:t>
      </w:r>
      <w:proofErr w:type="spellEnd"/>
      <w:r w:rsidR="00805911">
        <w:t xml:space="preserve"> (silne strony), </w:t>
      </w:r>
      <w:proofErr w:type="spellStart"/>
      <w:r w:rsidR="00805911" w:rsidRPr="00805911">
        <w:rPr>
          <w:i/>
        </w:rPr>
        <w:t>weaknesess</w:t>
      </w:r>
      <w:proofErr w:type="spellEnd"/>
      <w:r w:rsidR="00805911">
        <w:t xml:space="preserve"> (słabe strony), </w:t>
      </w:r>
      <w:proofErr w:type="spellStart"/>
      <w:r w:rsidR="00805911" w:rsidRPr="00805911">
        <w:rPr>
          <w:i/>
        </w:rPr>
        <w:t>opportunities</w:t>
      </w:r>
      <w:proofErr w:type="spellEnd"/>
      <w:r w:rsidR="00805911">
        <w:t xml:space="preserve"> (szanse) i </w:t>
      </w:r>
      <w:proofErr w:type="spellStart"/>
      <w:r w:rsidR="00805911" w:rsidRPr="00805911">
        <w:rPr>
          <w:i/>
        </w:rPr>
        <w:t>threats</w:t>
      </w:r>
      <w:proofErr w:type="spellEnd"/>
      <w:r w:rsidR="00805911">
        <w:t xml:space="preserve"> (zagrożenia), a jednocześnie stanowią one pola przyporządkowania czynników </w:t>
      </w:r>
      <w:r w:rsidR="00805911">
        <w:lastRenderedPageBreak/>
        <w:t>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w:t>
      </w:r>
      <w:proofErr w:type="spellStart"/>
      <w:r w:rsidR="007B5B3B">
        <w:t>defaworyzowanych</w:t>
      </w:r>
      <w:proofErr w:type="spellEnd"/>
      <w:r w:rsidR="007B5B3B">
        <w:t xml:space="preserve">.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0621AC" w:rsidRPr="007B5B3B">
        <w:rPr>
          <w:sz w:val="20"/>
          <w:szCs w:val="20"/>
        </w:rPr>
        <w:fldChar w:fldCharType="begin"/>
      </w:r>
      <w:r w:rsidRPr="007B5B3B">
        <w:rPr>
          <w:sz w:val="20"/>
          <w:szCs w:val="20"/>
        </w:rPr>
        <w:instrText xml:space="preserve"> SEQ Tabela \* ARABIC </w:instrText>
      </w:r>
      <w:r w:rsidR="000621AC" w:rsidRPr="007B5B3B">
        <w:rPr>
          <w:sz w:val="20"/>
          <w:szCs w:val="20"/>
        </w:rPr>
        <w:fldChar w:fldCharType="separate"/>
      </w:r>
      <w:r w:rsidR="00B621E4">
        <w:rPr>
          <w:noProof/>
          <w:sz w:val="20"/>
          <w:szCs w:val="20"/>
        </w:rPr>
        <w:t>31</w:t>
      </w:r>
      <w:r w:rsidR="000621AC"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460"/>
        <w:gridCol w:w="4498"/>
        <w:gridCol w:w="1537"/>
      </w:tblGrid>
      <w:tr w:rsidR="00BC7911" w:rsidRPr="009C4EF5" w:rsidTr="002C7584">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46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49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CA0A70">
        <w:tc>
          <w:tcPr>
            <w:tcW w:w="2925" w:type="dxa"/>
          </w:tcPr>
          <w:p w:rsidR="002C7584" w:rsidRPr="009C4EF5" w:rsidRDefault="002C7584" w:rsidP="00E23978">
            <w:r w:rsidRPr="009C4EF5">
              <w:t>Czyste środowisko naturalne</w:t>
            </w:r>
          </w:p>
        </w:tc>
        <w:tc>
          <w:tcPr>
            <w:tcW w:w="1460" w:type="dxa"/>
            <w:vMerge w:val="restart"/>
            <w:vAlign w:val="center"/>
          </w:tcPr>
          <w:p w:rsidR="002C7584" w:rsidRPr="009C4EF5" w:rsidRDefault="002C7584" w:rsidP="002C7584">
            <w:r>
              <w:t>3.5 Środowisko przyrodnicze</w:t>
            </w:r>
          </w:p>
        </w:tc>
        <w:tc>
          <w:tcPr>
            <w:tcW w:w="4498"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CA0A70">
        <w:tc>
          <w:tcPr>
            <w:tcW w:w="2925" w:type="dxa"/>
          </w:tcPr>
          <w:p w:rsidR="002C7584" w:rsidRPr="00BD386A" w:rsidRDefault="002F50C9" w:rsidP="00E23978">
            <w:r>
              <w:t>Wysokie walory przyrodnicze i </w:t>
            </w:r>
            <w:r w:rsidR="002C7584" w:rsidRPr="00BD386A">
              <w:t>krajobrazowe sprzyjające turystyce</w:t>
            </w:r>
          </w:p>
        </w:tc>
        <w:tc>
          <w:tcPr>
            <w:tcW w:w="1460" w:type="dxa"/>
            <w:vMerge/>
            <w:vAlign w:val="center"/>
          </w:tcPr>
          <w:p w:rsidR="002C7584" w:rsidRPr="00BD386A" w:rsidRDefault="002C7584" w:rsidP="002C7584"/>
        </w:tc>
        <w:tc>
          <w:tcPr>
            <w:tcW w:w="4498"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F50C9" w:rsidP="00E23978">
            <w:r>
              <w:t>Wysoki potencjał kulturowy i </w:t>
            </w:r>
            <w:r w:rsidR="002C7584" w:rsidRPr="00BD386A">
              <w:t>historyczny sprzyjający turystyce</w:t>
            </w:r>
          </w:p>
        </w:tc>
        <w:tc>
          <w:tcPr>
            <w:tcW w:w="1460" w:type="dxa"/>
            <w:vAlign w:val="center"/>
          </w:tcPr>
          <w:p w:rsidR="002C7584" w:rsidRPr="00BD386A" w:rsidRDefault="002C7584" w:rsidP="002C7584">
            <w:r w:rsidRPr="00BD386A">
              <w:t>3.6 Dziedzictwo kulturowe</w:t>
            </w:r>
          </w:p>
        </w:tc>
        <w:tc>
          <w:tcPr>
            <w:tcW w:w="4498"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Rozwijająca się baza noclegowa</w:t>
            </w:r>
          </w:p>
        </w:tc>
        <w:tc>
          <w:tcPr>
            <w:tcW w:w="1460" w:type="dxa"/>
            <w:vAlign w:val="center"/>
          </w:tcPr>
          <w:p w:rsidR="002C7584" w:rsidRPr="00BD386A" w:rsidRDefault="002C7584" w:rsidP="002C7584">
            <w:r w:rsidRPr="00BD386A">
              <w:t>3.7 Turystyka</w:t>
            </w:r>
          </w:p>
        </w:tc>
        <w:tc>
          <w:tcPr>
            <w:tcW w:w="4498"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CA0A70">
        <w:tc>
          <w:tcPr>
            <w:tcW w:w="2925" w:type="dxa"/>
          </w:tcPr>
          <w:p w:rsidR="002C7584" w:rsidRPr="00BD386A" w:rsidRDefault="002C7584" w:rsidP="00E23978">
            <w:r w:rsidRPr="00BD386A">
              <w:t>Bliskość dużych ośrodków miejskich - Torunia, Grudziądza i Włocławka</w:t>
            </w:r>
          </w:p>
        </w:tc>
        <w:tc>
          <w:tcPr>
            <w:tcW w:w="1460" w:type="dxa"/>
            <w:vAlign w:val="center"/>
          </w:tcPr>
          <w:p w:rsidR="002C7584" w:rsidRPr="00BD386A" w:rsidRDefault="000A54AD" w:rsidP="002C7584">
            <w:r w:rsidRPr="00BD386A">
              <w:t>3.7 Turystyka</w:t>
            </w:r>
          </w:p>
        </w:tc>
        <w:tc>
          <w:tcPr>
            <w:tcW w:w="4498"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CA0A70">
        <w:tc>
          <w:tcPr>
            <w:tcW w:w="2925" w:type="dxa"/>
          </w:tcPr>
          <w:p w:rsidR="002C7584" w:rsidRPr="00BD386A" w:rsidRDefault="002C7584" w:rsidP="00E23978">
            <w:r w:rsidRPr="00BD386A">
              <w:t>Centralne położenie miasta Golub-Dobrzyń na tle powiatu wpływające na spójność terytorialną obszaru LGD</w:t>
            </w:r>
          </w:p>
        </w:tc>
        <w:tc>
          <w:tcPr>
            <w:tcW w:w="1460" w:type="dxa"/>
            <w:vAlign w:val="center"/>
          </w:tcPr>
          <w:p w:rsidR="002C7584" w:rsidRPr="00BD386A" w:rsidRDefault="00B029A6" w:rsidP="002C7584">
            <w:r w:rsidRPr="00BD386A">
              <w:t>3.7 Turystyka</w:t>
            </w:r>
          </w:p>
        </w:tc>
        <w:tc>
          <w:tcPr>
            <w:tcW w:w="4498" w:type="dxa"/>
          </w:tcPr>
          <w:p w:rsidR="002C7584" w:rsidRPr="00BD386A" w:rsidRDefault="002C7584" w:rsidP="00E23978">
            <w:r w:rsidRPr="00BD386A">
              <w:t xml:space="preserve">Bierność/niska aktywność oraz niewystarczająca/słaba aktywizacja osób zagrożonych ubóstwem, wykluczeniem społecznym oraz innych grup </w:t>
            </w:r>
            <w:proofErr w:type="spellStart"/>
            <w:r w:rsidRPr="00BD386A">
              <w:t>defaworyzowanych</w:t>
            </w:r>
            <w:proofErr w:type="spellEnd"/>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460" w:type="dxa"/>
            <w:vAlign w:val="center"/>
          </w:tcPr>
          <w:p w:rsidR="002C7584" w:rsidRPr="00BD386A" w:rsidRDefault="000A54AD" w:rsidP="002C7584">
            <w:r w:rsidRPr="00BD386A">
              <w:t>3.9 Infrastruktura techniczna</w:t>
            </w:r>
          </w:p>
        </w:tc>
        <w:tc>
          <w:tcPr>
            <w:tcW w:w="4498"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CA0A70">
        <w:tc>
          <w:tcPr>
            <w:tcW w:w="2925" w:type="dxa"/>
          </w:tcPr>
          <w:p w:rsidR="002C7584" w:rsidRPr="00BD386A" w:rsidRDefault="002C7584" w:rsidP="00E23978">
            <w:r w:rsidRPr="00BD386A">
              <w:t>Stały wzrost liczby przedsiębiorstw</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Wysoki stopień zwodociągowania obszaru</w:t>
            </w:r>
          </w:p>
        </w:tc>
        <w:tc>
          <w:tcPr>
            <w:tcW w:w="1460" w:type="dxa"/>
            <w:vAlign w:val="center"/>
          </w:tcPr>
          <w:p w:rsidR="002C7584" w:rsidRPr="00BD386A" w:rsidRDefault="002C7584" w:rsidP="002C7584">
            <w:r w:rsidRPr="00BD386A">
              <w:t>3.9 Infrastruktura techniczna</w:t>
            </w:r>
          </w:p>
        </w:tc>
        <w:tc>
          <w:tcPr>
            <w:tcW w:w="4498"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Wysoki potencjał rolniczy obszaru</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CA0A70">
        <w:tc>
          <w:tcPr>
            <w:tcW w:w="2925" w:type="dxa"/>
          </w:tcPr>
          <w:p w:rsidR="002C7584" w:rsidRPr="00BD386A" w:rsidRDefault="002C7584" w:rsidP="00E23978">
            <w:r w:rsidRPr="00BD386A">
              <w:t>Stosunkowo duża liczba organizacji pozarządowych</w:t>
            </w:r>
          </w:p>
        </w:tc>
        <w:tc>
          <w:tcPr>
            <w:tcW w:w="1460" w:type="dxa"/>
            <w:vAlign w:val="center"/>
          </w:tcPr>
          <w:p w:rsidR="002C7584" w:rsidRPr="00BD386A" w:rsidRDefault="002C7584" w:rsidP="002C7584">
            <w:r w:rsidRPr="00BD386A">
              <w:t>3.8 Działalność organizacji społecznych</w:t>
            </w:r>
          </w:p>
        </w:tc>
        <w:tc>
          <w:tcPr>
            <w:tcW w:w="4498"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CA0A70">
        <w:tc>
          <w:tcPr>
            <w:tcW w:w="2925" w:type="dxa"/>
          </w:tcPr>
          <w:p w:rsidR="002C7584" w:rsidRPr="00BD386A" w:rsidRDefault="002C7584" w:rsidP="00E23978">
            <w:r w:rsidRPr="00BD386A">
              <w:t>Porozumienie samorządów całego powiatu w zakresie powstania parku przemysłowo-technologicznego oraz inkubatora przedsiębiorczości</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val="restart"/>
          </w:tcPr>
          <w:p w:rsidR="002C7584" w:rsidRPr="00BD386A" w:rsidRDefault="002C7584" w:rsidP="00805911">
            <w:pPr>
              <w:jc w:val="both"/>
            </w:pPr>
          </w:p>
        </w:tc>
        <w:tc>
          <w:tcPr>
            <w:tcW w:w="4498" w:type="dxa"/>
          </w:tcPr>
          <w:p w:rsidR="002C7584" w:rsidRPr="00BD386A" w:rsidRDefault="002C7584" w:rsidP="00E23978">
            <w:r w:rsidRPr="00BD386A">
              <w:t>Słaby stan infrastruktury turystycznej: brak infrastruktury towarzyszącej szlakom, brak odpowiedniej informacji turystycznej</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Standard oferty noclegowej, gastronomicznej i</w:t>
            </w:r>
            <w:r w:rsidR="002F50C9">
              <w:t> </w:t>
            </w:r>
            <w:r w:rsidRPr="00BD386A">
              <w:t>rekreacyjnej niedostosowany do wymagań obsługi turysty zagranicznego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Słaba promocja turystyczna obszaru LGD</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Braki w infrastrukturze technicznej (kanalizacja zbiorcza, gaz ziemny)</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Niewłaściwy stan infrastruktury dróg lokalnych</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Zły stan techniczny części obiektów o znaczeniu kulturalnym i społecznym</w:t>
            </w:r>
          </w:p>
        </w:tc>
        <w:tc>
          <w:tcPr>
            <w:tcW w:w="1537" w:type="dxa"/>
            <w:vAlign w:val="center"/>
          </w:tcPr>
          <w:p w:rsidR="002C7584" w:rsidRPr="00BD386A" w:rsidRDefault="002C7584" w:rsidP="00CA0A70">
            <w:r w:rsidRPr="00BD386A">
              <w:t>3.6 Dziedzictwo kulturowe</w:t>
            </w:r>
          </w:p>
        </w:tc>
      </w:tr>
      <w:tr w:rsidR="002C7584" w:rsidRPr="00BD386A" w:rsidTr="00CA0A70">
        <w:tc>
          <w:tcPr>
            <w:tcW w:w="4385" w:type="dxa"/>
            <w:gridSpan w:val="2"/>
            <w:vMerge/>
            <w:tcBorders>
              <w:bottom w:val="single" w:sz="4" w:space="0" w:color="auto"/>
            </w:tcBorders>
          </w:tcPr>
          <w:p w:rsidR="002C7584" w:rsidRPr="00BD386A" w:rsidRDefault="002C7584" w:rsidP="00805911">
            <w:pPr>
              <w:jc w:val="both"/>
            </w:pPr>
          </w:p>
        </w:tc>
        <w:tc>
          <w:tcPr>
            <w:tcW w:w="4498" w:type="dxa"/>
            <w:tcBorders>
              <w:bottom w:val="single" w:sz="4" w:space="0" w:color="auto"/>
            </w:tcBorders>
          </w:tcPr>
          <w:p w:rsidR="002C7584" w:rsidRPr="00BD386A" w:rsidRDefault="002C7584"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2C7584" w:rsidRPr="00BD386A" w:rsidRDefault="002C7584" w:rsidP="00CA0A70">
            <w:r w:rsidRPr="00BD386A">
              <w:t xml:space="preserve">3.11 </w:t>
            </w:r>
            <w:r w:rsidR="002F50C9">
              <w:t>Rewitalizacja społeczna i </w:t>
            </w:r>
            <w:r w:rsidR="00C34219">
              <w:t>gospod</w:t>
            </w:r>
            <w:r w:rsidRPr="00BD386A">
              <w:t>arcza</w:t>
            </w:r>
          </w:p>
        </w:tc>
      </w:tr>
      <w:tr w:rsidR="002C7584" w:rsidRPr="00BD386A" w:rsidTr="00CA0A70">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46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49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CA0A70">
        <w:tc>
          <w:tcPr>
            <w:tcW w:w="2925" w:type="dxa"/>
          </w:tcPr>
          <w:p w:rsidR="002C7584" w:rsidRPr="00BD386A" w:rsidRDefault="002C7584" w:rsidP="00CA0A70">
            <w:r w:rsidRPr="00BD386A">
              <w:t>Rozwój turystyki w zakresie infrastruktury i usług</w:t>
            </w:r>
          </w:p>
        </w:tc>
        <w:tc>
          <w:tcPr>
            <w:tcW w:w="1460" w:type="dxa"/>
            <w:vAlign w:val="center"/>
          </w:tcPr>
          <w:p w:rsidR="002C7584" w:rsidRPr="00BD386A" w:rsidRDefault="004C4429" w:rsidP="004C4429">
            <w:r w:rsidRPr="00BD386A">
              <w:t>3.7 Turystyka</w:t>
            </w:r>
          </w:p>
        </w:tc>
        <w:tc>
          <w:tcPr>
            <w:tcW w:w="4498"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CA0A70">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CA0A70">
        <w:tc>
          <w:tcPr>
            <w:tcW w:w="2925" w:type="dxa"/>
          </w:tcPr>
          <w:p w:rsidR="002C7584" w:rsidRPr="00BD386A" w:rsidRDefault="002C7584" w:rsidP="00CA0A70">
            <w:r w:rsidRPr="00BD386A">
              <w:t>Rozwój gospodarczy tworzący nowe miejsca pracy</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CA0A70">
        <w:tc>
          <w:tcPr>
            <w:tcW w:w="2925" w:type="dxa"/>
          </w:tcPr>
          <w:p w:rsidR="004C4429" w:rsidRPr="00BD386A" w:rsidRDefault="004C4429" w:rsidP="00CA0A70">
            <w:r w:rsidRPr="00BD386A">
              <w:t>Spadek bezrobocia</w:t>
            </w:r>
          </w:p>
        </w:tc>
        <w:tc>
          <w:tcPr>
            <w:tcW w:w="1460" w:type="dxa"/>
            <w:vAlign w:val="center"/>
          </w:tcPr>
          <w:p w:rsidR="004C4429" w:rsidRPr="00BD386A" w:rsidRDefault="004C4429" w:rsidP="004C4429">
            <w:r w:rsidRPr="00BD386A">
              <w:t>3.2 Rynek pracy</w:t>
            </w:r>
          </w:p>
        </w:tc>
        <w:tc>
          <w:tcPr>
            <w:tcW w:w="4498" w:type="dxa"/>
          </w:tcPr>
          <w:p w:rsidR="004C4429" w:rsidRPr="00BD386A" w:rsidRDefault="004C4429" w:rsidP="00E23978">
            <w:r w:rsidRPr="00BD386A">
              <w:t xml:space="preserve">Postępujące ubóstwo i wykluczenie społeczne grup </w:t>
            </w:r>
            <w:proofErr w:type="spellStart"/>
            <w:r w:rsidRPr="00BD386A">
              <w:t>defaworyzowanych</w:t>
            </w:r>
            <w:proofErr w:type="spellEnd"/>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Stworzenie inkubatora przedsiębiorczości</w:t>
            </w:r>
          </w:p>
        </w:tc>
        <w:tc>
          <w:tcPr>
            <w:tcW w:w="1460" w:type="dxa"/>
            <w:vAlign w:val="center"/>
          </w:tcPr>
          <w:p w:rsidR="004C4429" w:rsidRPr="00BD386A" w:rsidRDefault="004C4429" w:rsidP="004C4429">
            <w:r w:rsidRPr="00BD386A">
              <w:t>3.3 Gospodarka</w:t>
            </w:r>
          </w:p>
        </w:tc>
        <w:tc>
          <w:tcPr>
            <w:tcW w:w="4498"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CA0A70">
        <w:tc>
          <w:tcPr>
            <w:tcW w:w="2925" w:type="dxa"/>
          </w:tcPr>
          <w:p w:rsidR="004C4429" w:rsidRPr="00BD386A" w:rsidRDefault="004C4429" w:rsidP="00CA0A70">
            <w:r w:rsidRPr="00BD386A">
              <w:t>Wzrost poziomu integracji społecznej, w tym grup wykluczonych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Aktywizacja i integracja osób starszych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 xml:space="preserve">Rozwinięcie działalności organizacji pozarządowych poprzez dostęp do środków </w:t>
            </w:r>
            <w:r w:rsidRPr="00BD386A">
              <w:lastRenderedPageBreak/>
              <w:t>finansujących działalność statutową</w:t>
            </w:r>
          </w:p>
        </w:tc>
        <w:tc>
          <w:tcPr>
            <w:tcW w:w="1460" w:type="dxa"/>
            <w:vAlign w:val="center"/>
          </w:tcPr>
          <w:p w:rsidR="004C4429" w:rsidRPr="00BD386A" w:rsidRDefault="004C4429" w:rsidP="004C4429">
            <w:r w:rsidRPr="00BD386A">
              <w:lastRenderedPageBreak/>
              <w:t xml:space="preserve">3.8 Działalność organizacji </w:t>
            </w:r>
            <w:r w:rsidRPr="00BD386A">
              <w:lastRenderedPageBreak/>
              <w:t>społecznych</w:t>
            </w:r>
          </w:p>
        </w:tc>
        <w:tc>
          <w:tcPr>
            <w:tcW w:w="4498" w:type="dxa"/>
          </w:tcPr>
          <w:p w:rsidR="004C4429" w:rsidRPr="00BD386A" w:rsidRDefault="004C4429" w:rsidP="00E23978"/>
        </w:tc>
        <w:tc>
          <w:tcPr>
            <w:tcW w:w="1537" w:type="dxa"/>
            <w:vAlign w:val="center"/>
          </w:tcPr>
          <w:p w:rsidR="004C4429" w:rsidRPr="00BD386A" w:rsidRDefault="004C4429" w:rsidP="00CA0A70"/>
        </w:tc>
      </w:tr>
      <w:tr w:rsidR="004C4429" w:rsidRPr="00BD386A" w:rsidTr="004C4429">
        <w:tc>
          <w:tcPr>
            <w:tcW w:w="2925" w:type="dxa"/>
          </w:tcPr>
          <w:p w:rsidR="004C4429" w:rsidRPr="00BD386A" w:rsidRDefault="004C4429" w:rsidP="00CA0A70">
            <w:r w:rsidRPr="00BD386A">
              <w:lastRenderedPageBreak/>
              <w:t>Budowa drogi S-10 oraz rozbudowa dróg lokalnych</w:t>
            </w:r>
          </w:p>
        </w:tc>
        <w:tc>
          <w:tcPr>
            <w:tcW w:w="1460" w:type="dxa"/>
            <w:vAlign w:val="center"/>
          </w:tcPr>
          <w:p w:rsidR="004C4429" w:rsidRPr="00BD386A" w:rsidRDefault="004C4429" w:rsidP="004C4429">
            <w:r w:rsidRPr="00BD386A">
              <w:t>3.9 Infrastruktura techniczna</w:t>
            </w:r>
          </w:p>
        </w:tc>
        <w:tc>
          <w:tcPr>
            <w:tcW w:w="4498"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4C4429">
        <w:tc>
          <w:tcPr>
            <w:tcW w:w="2925" w:type="dxa"/>
          </w:tcPr>
          <w:p w:rsidR="004C4429" w:rsidRPr="00BD386A" w:rsidRDefault="004C4429" w:rsidP="00CA0A70">
            <w:r w:rsidRPr="00BD386A">
              <w:t>Budowa, modernizacja oraz doposażenie świetlic wiejskich</w:t>
            </w:r>
          </w:p>
        </w:tc>
        <w:tc>
          <w:tcPr>
            <w:tcW w:w="1460" w:type="dxa"/>
            <w:vAlign w:val="center"/>
          </w:tcPr>
          <w:p w:rsidR="004C4429" w:rsidRPr="00BD386A" w:rsidRDefault="004C4429" w:rsidP="004C4429">
            <w:r w:rsidRPr="00BD386A">
              <w:t>3.6 Dziedzictwo kulturowe</w:t>
            </w:r>
          </w:p>
        </w:tc>
        <w:tc>
          <w:tcPr>
            <w:tcW w:w="4498" w:type="dxa"/>
          </w:tcPr>
          <w:p w:rsidR="004C4429" w:rsidRPr="00BD386A" w:rsidRDefault="004C4429" w:rsidP="00E23978"/>
        </w:tc>
        <w:tc>
          <w:tcPr>
            <w:tcW w:w="1537" w:type="dxa"/>
          </w:tcPr>
          <w:p w:rsidR="004C4429" w:rsidRPr="00BD386A" w:rsidRDefault="004C4429"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C078CB">
      <w:pPr>
        <w:pStyle w:val="Nagwek2"/>
      </w:pPr>
      <w:bookmarkStart w:id="55" w:name="_Toc438459064"/>
      <w:r>
        <w:t>Specyfikacja i o</w:t>
      </w:r>
      <w:r w:rsidR="00047E0A" w:rsidRPr="00CE279F">
        <w:t>pis celów</w:t>
      </w:r>
      <w:bookmarkEnd w:id="55"/>
    </w:p>
    <w:p w:rsidR="00CD34FC" w:rsidRDefault="00CD34FC" w:rsidP="00F24A1D">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F24A1D">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F24A1D">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F24A1D">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F24A1D">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F24A1D">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F24A1D">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F24A1D">
            <w:pPr>
              <w:spacing w:afterLines="40"/>
              <w:rPr>
                <w:b/>
              </w:rPr>
            </w:pPr>
            <w:r>
              <w:rPr>
                <w:b/>
              </w:rPr>
              <w:t xml:space="preserve">1.1. </w:t>
            </w:r>
            <w:r>
              <w:t>Wsparcie</w:t>
            </w:r>
            <w:r w:rsidRPr="00900591">
              <w:t xml:space="preserve"> przedsiębiorczości</w:t>
            </w:r>
          </w:p>
        </w:tc>
      </w:tr>
      <w:tr w:rsidR="00CD34FC" w:rsidTr="00CD34FC">
        <w:trPr>
          <w:jc w:val="center"/>
        </w:trPr>
        <w:tc>
          <w:tcPr>
            <w:tcW w:w="4503" w:type="dxa"/>
            <w:vMerge/>
            <w:shd w:val="clear" w:color="auto" w:fill="auto"/>
          </w:tcPr>
          <w:p w:rsidR="00CD34FC" w:rsidRPr="000B2FDA" w:rsidRDefault="00CD34FC" w:rsidP="00F24A1D">
            <w:pPr>
              <w:spacing w:afterLines="40"/>
              <w:rPr>
                <w:b/>
              </w:rPr>
            </w:pPr>
          </w:p>
        </w:tc>
        <w:tc>
          <w:tcPr>
            <w:tcW w:w="4503" w:type="dxa"/>
            <w:shd w:val="clear" w:color="auto" w:fill="auto"/>
          </w:tcPr>
          <w:p w:rsidR="00CD34FC" w:rsidRPr="000B2FDA" w:rsidRDefault="00CD34FC" w:rsidP="00F24A1D">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F24A1D">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F24A1D">
            <w:pPr>
              <w:spacing w:afterLines="40"/>
              <w:rPr>
                <w:b/>
              </w:rPr>
            </w:pPr>
            <w:r>
              <w:rPr>
                <w:b/>
              </w:rPr>
              <w:t xml:space="preserve">2.1. </w:t>
            </w:r>
            <w:r w:rsidRPr="00900591">
              <w:t>Aktywizacja i integracja społeczności obszaru LGD</w:t>
            </w:r>
          </w:p>
        </w:tc>
      </w:tr>
      <w:tr w:rsidR="00CD34FC" w:rsidTr="00CD34FC">
        <w:trPr>
          <w:jc w:val="center"/>
        </w:trPr>
        <w:tc>
          <w:tcPr>
            <w:tcW w:w="4503" w:type="dxa"/>
            <w:vMerge w:val="restart"/>
            <w:shd w:val="clear" w:color="auto" w:fill="auto"/>
          </w:tcPr>
          <w:p w:rsidR="00CD34FC" w:rsidRDefault="00CD34FC" w:rsidP="00F24A1D">
            <w:pPr>
              <w:spacing w:afterLines="40"/>
            </w:pPr>
            <w:r w:rsidRPr="000B2FDA">
              <w:rPr>
                <w:b/>
              </w:rPr>
              <w:t>Cel ogólny 3:</w:t>
            </w:r>
            <w:r>
              <w:t xml:space="preserve"> Poprawa atrakcyjności turystycznej i osiedleńczej obszaru LGD </w:t>
            </w:r>
            <w:r w:rsidR="00013204">
              <w:t>"</w:t>
            </w:r>
            <w:r>
              <w:t>Dolina Drwęcy</w:t>
            </w:r>
            <w:r w:rsidR="00013204">
              <w:t>"</w:t>
            </w:r>
          </w:p>
        </w:tc>
        <w:tc>
          <w:tcPr>
            <w:tcW w:w="4503" w:type="dxa"/>
            <w:shd w:val="clear" w:color="auto" w:fill="auto"/>
          </w:tcPr>
          <w:p w:rsidR="00CD34FC" w:rsidRPr="000B2FDA" w:rsidRDefault="00CD34FC" w:rsidP="00F24A1D">
            <w:pPr>
              <w:spacing w:afterLines="40"/>
              <w:rPr>
                <w:b/>
              </w:rPr>
            </w:pPr>
            <w:r>
              <w:rPr>
                <w:b/>
              </w:rPr>
              <w:t xml:space="preserve">3.1. </w:t>
            </w:r>
            <w:r w:rsidRPr="00900591">
              <w:t>Wzmocnienie promocji i potencjału turystycznego obszaru LGD</w:t>
            </w:r>
          </w:p>
        </w:tc>
      </w:tr>
      <w:tr w:rsidR="00CD34FC" w:rsidTr="00CD34FC">
        <w:trPr>
          <w:jc w:val="center"/>
        </w:trPr>
        <w:tc>
          <w:tcPr>
            <w:tcW w:w="4503" w:type="dxa"/>
            <w:vMerge/>
            <w:shd w:val="clear" w:color="auto" w:fill="auto"/>
          </w:tcPr>
          <w:p w:rsidR="00CD34FC" w:rsidRPr="000B2FDA" w:rsidRDefault="00CD34FC" w:rsidP="00F24A1D">
            <w:pPr>
              <w:spacing w:afterLines="40"/>
              <w:rPr>
                <w:b/>
              </w:rPr>
            </w:pPr>
          </w:p>
        </w:tc>
        <w:tc>
          <w:tcPr>
            <w:tcW w:w="4503" w:type="dxa"/>
            <w:shd w:val="clear" w:color="auto" w:fill="auto"/>
          </w:tcPr>
          <w:p w:rsidR="00CD34FC" w:rsidRPr="000B2FDA" w:rsidRDefault="00CD34FC" w:rsidP="00F24A1D">
            <w:pPr>
              <w:spacing w:afterLines="40"/>
              <w:rPr>
                <w:b/>
              </w:rPr>
            </w:pPr>
            <w:r>
              <w:rPr>
                <w:b/>
              </w:rPr>
              <w:t xml:space="preserve">3.2. </w:t>
            </w:r>
            <w:r w:rsidRPr="00900591">
              <w:t>Wzmocnienie spójności lokalnej poprzez rewitalizację fizyczną</w:t>
            </w:r>
          </w:p>
        </w:tc>
      </w:tr>
    </w:tbl>
    <w:p w:rsidR="0085543B" w:rsidRDefault="0085543B" w:rsidP="0085543B">
      <w:pPr>
        <w:spacing w:after="0" w:line="240" w:lineRule="auto"/>
      </w:pPr>
    </w:p>
    <w:p w:rsidR="00BC4508" w:rsidRDefault="00BC4508" w:rsidP="0085543B">
      <w:pPr>
        <w:spacing w:after="0" w:line="240" w:lineRule="auto"/>
        <w:sectPr w:rsidR="00BC4508" w:rsidSect="0049596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7" w:name="_Toc439086516"/>
      <w:r w:rsidRPr="00F22A9F">
        <w:rPr>
          <w:sz w:val="20"/>
          <w:szCs w:val="20"/>
        </w:rPr>
        <w:lastRenderedPageBreak/>
        <w:t xml:space="preserve">Tabela </w:t>
      </w:r>
      <w:r w:rsidR="000621AC" w:rsidRPr="00F22A9F">
        <w:rPr>
          <w:sz w:val="20"/>
          <w:szCs w:val="20"/>
        </w:rPr>
        <w:fldChar w:fldCharType="begin"/>
      </w:r>
      <w:r w:rsidR="006B1DF0" w:rsidRPr="00F22A9F">
        <w:rPr>
          <w:sz w:val="20"/>
          <w:szCs w:val="20"/>
        </w:rPr>
        <w:instrText xml:space="preserve"> SEQ Tabela \* ARABIC </w:instrText>
      </w:r>
      <w:r w:rsidR="000621AC" w:rsidRPr="00F22A9F">
        <w:rPr>
          <w:sz w:val="20"/>
          <w:szCs w:val="20"/>
        </w:rPr>
        <w:fldChar w:fldCharType="separate"/>
      </w:r>
      <w:r w:rsidR="00B621E4">
        <w:rPr>
          <w:noProof/>
          <w:sz w:val="20"/>
          <w:szCs w:val="20"/>
        </w:rPr>
        <w:t>32</w:t>
      </w:r>
      <w:r w:rsidR="000621AC"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7"/>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 xml:space="preserve">10. Bierność/niska aktywność oraz niewystarczająca/słaba aktywizacja osób zagrożonych ubóstwem, wykluczeniem społecznym oraz innych grup </w:t>
            </w:r>
            <w:proofErr w:type="spellStart"/>
            <w:r w:rsidRPr="00FD365C">
              <w:t>defaworyzowanych</w:t>
            </w:r>
            <w:proofErr w:type="spellEnd"/>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701D4A" w:rsidRPr="009C4EF5" w:rsidTr="003E287A">
        <w:trPr>
          <w:trHeight w:val="1880"/>
          <w:jc w:val="center"/>
        </w:trPr>
        <w:tc>
          <w:tcPr>
            <w:tcW w:w="3726" w:type="dxa"/>
            <w:vAlign w:val="center"/>
          </w:tcPr>
          <w:p w:rsidR="00701D4A" w:rsidRPr="009C4EF5" w:rsidRDefault="00701D4A" w:rsidP="003107AA">
            <w:r w:rsidRPr="009C4EF5">
              <w:t>11. Słaby stan infrastruktury turystycznej: brak infrastruktury towarzyszącej szlakom turystycznym, brak odpowiedniej informacji turystycznej</w:t>
            </w:r>
          </w:p>
        </w:tc>
        <w:tc>
          <w:tcPr>
            <w:tcW w:w="1417" w:type="dxa"/>
            <w:vMerge w:val="restart"/>
            <w:vAlign w:val="center"/>
          </w:tcPr>
          <w:p w:rsidR="00701D4A" w:rsidRPr="009C4EF5" w:rsidRDefault="00701D4A"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tc>
        <w:tc>
          <w:tcPr>
            <w:tcW w:w="1418" w:type="dxa"/>
            <w:vMerge w:val="restart"/>
            <w:vAlign w:val="center"/>
          </w:tcPr>
          <w:p w:rsidR="00701D4A" w:rsidRPr="009C4EF5" w:rsidRDefault="00701D4A" w:rsidP="003107AA">
            <w:r w:rsidRPr="009C4EF5">
              <w:rPr>
                <w:b/>
              </w:rPr>
              <w:t xml:space="preserve">Cel 3.1. </w:t>
            </w:r>
            <w:r w:rsidRPr="009C4EF5">
              <w:t>Wzmocnienie promoc</w:t>
            </w:r>
            <w:r>
              <w:t>ji i </w:t>
            </w:r>
            <w:r w:rsidRPr="009C4EF5">
              <w:t>potencjału turystycznego obszaru LGD</w:t>
            </w:r>
          </w:p>
        </w:tc>
        <w:tc>
          <w:tcPr>
            <w:tcW w:w="2050" w:type="dxa"/>
            <w:vMerge w:val="restart"/>
            <w:vAlign w:val="center"/>
          </w:tcPr>
          <w:p w:rsidR="00701D4A" w:rsidRPr="009C4EF5" w:rsidRDefault="00701D4A"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701D4A" w:rsidRPr="00813CB0" w:rsidRDefault="00701D4A" w:rsidP="003149EA">
            <w:r w:rsidRPr="00813CB0">
              <w:t>Liczba przebudowanych obiektów infrastruktury turystycznej i rekreacyjnej</w:t>
            </w:r>
          </w:p>
        </w:tc>
        <w:tc>
          <w:tcPr>
            <w:tcW w:w="2202" w:type="dxa"/>
            <w:vAlign w:val="center"/>
          </w:tcPr>
          <w:p w:rsidR="00701D4A" w:rsidRPr="00813CB0" w:rsidRDefault="00701D4A" w:rsidP="000700B5">
            <w:r w:rsidRPr="00813CB0">
              <w:t>Wzrost liczby osób korzystających z przebudowanych obiektów infrastruktury turystycznej i rekreacyjnej</w:t>
            </w:r>
          </w:p>
        </w:tc>
        <w:tc>
          <w:tcPr>
            <w:tcW w:w="1494" w:type="dxa"/>
            <w:vMerge w:val="restart"/>
            <w:vAlign w:val="center"/>
          </w:tcPr>
          <w:p w:rsidR="00701D4A" w:rsidRPr="00FD365C" w:rsidRDefault="00701D4A" w:rsidP="003107AA">
            <w:r w:rsidRPr="00FD365C">
              <w:t>Wzrost liczby korzystających z noclegów na obszarze LGD do 2023 roku</w:t>
            </w:r>
          </w:p>
        </w:tc>
      </w:tr>
      <w:tr w:rsidR="008C6237" w:rsidRPr="009C4EF5" w:rsidTr="003E287A">
        <w:trPr>
          <w:jc w:val="center"/>
        </w:trPr>
        <w:tc>
          <w:tcPr>
            <w:tcW w:w="3726" w:type="dxa"/>
            <w:vAlign w:val="center"/>
          </w:tcPr>
          <w:p w:rsidR="008C6237" w:rsidRPr="009C4EF5" w:rsidRDefault="008C6237" w:rsidP="003107AA">
            <w:r>
              <w:t>12</w:t>
            </w:r>
            <w:r w:rsidRPr="009C4EF5">
              <w:t>. Zły stan techniczny części obiektów o znaczeniu kulturalnym i społecznym</w:t>
            </w:r>
          </w:p>
        </w:tc>
        <w:tc>
          <w:tcPr>
            <w:tcW w:w="1417" w:type="dxa"/>
            <w:vMerge/>
            <w:vAlign w:val="center"/>
          </w:tcPr>
          <w:p w:rsidR="008C6237" w:rsidRPr="009C4EF5" w:rsidRDefault="008C6237" w:rsidP="003107AA">
            <w:pPr>
              <w:rPr>
                <w:b/>
              </w:rPr>
            </w:pPr>
          </w:p>
        </w:tc>
        <w:tc>
          <w:tcPr>
            <w:tcW w:w="1418" w:type="dxa"/>
            <w:vMerge/>
            <w:vAlign w:val="center"/>
          </w:tcPr>
          <w:p w:rsidR="008C6237" w:rsidRPr="009C4EF5" w:rsidRDefault="008C6237" w:rsidP="003107AA">
            <w:pPr>
              <w:rPr>
                <w:b/>
              </w:rPr>
            </w:pPr>
          </w:p>
        </w:tc>
        <w:tc>
          <w:tcPr>
            <w:tcW w:w="2050" w:type="dxa"/>
            <w:vMerge/>
            <w:vAlign w:val="center"/>
          </w:tcPr>
          <w:p w:rsidR="008C6237" w:rsidRPr="009C4EF5" w:rsidRDefault="008C6237" w:rsidP="003107AA"/>
        </w:tc>
        <w:tc>
          <w:tcPr>
            <w:tcW w:w="2268" w:type="dxa"/>
            <w:vAlign w:val="center"/>
          </w:tcPr>
          <w:p w:rsidR="008C6237" w:rsidRPr="00813CB0" w:rsidRDefault="003149EA" w:rsidP="003107AA">
            <w:r w:rsidRPr="00813CB0">
              <w:t>Liczba nowych obiektów infrastruktury turystycznej i rekreacyjnej</w:t>
            </w:r>
          </w:p>
        </w:tc>
        <w:tc>
          <w:tcPr>
            <w:tcW w:w="2202" w:type="dxa"/>
            <w:vAlign w:val="center"/>
          </w:tcPr>
          <w:p w:rsidR="008C6237" w:rsidRPr="00813CB0" w:rsidRDefault="003149EA" w:rsidP="003149EA">
            <w:pPr>
              <w:rPr>
                <w:highlight w:val="yellow"/>
              </w:rPr>
            </w:pPr>
            <w:r w:rsidRPr="00813CB0">
              <w:t>Liczba osób korzystających z nowych obiektów infrastruktury turystycznej i rekreacyjnej</w:t>
            </w:r>
          </w:p>
        </w:tc>
        <w:tc>
          <w:tcPr>
            <w:tcW w:w="1494" w:type="dxa"/>
            <w:vMerge/>
            <w:vAlign w:val="center"/>
          </w:tcPr>
          <w:p w:rsidR="008C6237" w:rsidRPr="009C4EF5" w:rsidRDefault="008C6237" w:rsidP="003107AA"/>
        </w:tc>
      </w:tr>
      <w:tr w:rsidR="006B3916" w:rsidRPr="009C4EF5" w:rsidTr="003E287A">
        <w:trPr>
          <w:trHeight w:val="1307"/>
          <w:jc w:val="center"/>
        </w:trPr>
        <w:tc>
          <w:tcPr>
            <w:tcW w:w="3726" w:type="dxa"/>
            <w:vAlign w:val="center"/>
          </w:tcPr>
          <w:p w:rsidR="006B3916" w:rsidRPr="009C4EF5" w:rsidRDefault="006B3916" w:rsidP="006B3916">
            <w:r w:rsidRPr="009C4EF5">
              <w:lastRenderedPageBreak/>
              <w:t>1</w:t>
            </w:r>
            <w:r w:rsidR="008C6237">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6B3916" w:rsidRPr="009C4EF5" w:rsidRDefault="006B3916" w:rsidP="003107AA">
            <w:pPr>
              <w:rPr>
                <w:b/>
              </w:rPr>
            </w:pPr>
          </w:p>
        </w:tc>
        <w:tc>
          <w:tcPr>
            <w:tcW w:w="1418" w:type="dxa"/>
            <w:vMerge/>
            <w:vAlign w:val="center"/>
          </w:tcPr>
          <w:p w:rsidR="006B3916" w:rsidRPr="009C4EF5" w:rsidRDefault="006B3916" w:rsidP="003107AA">
            <w:pPr>
              <w:rPr>
                <w:b/>
              </w:rPr>
            </w:pPr>
          </w:p>
        </w:tc>
        <w:tc>
          <w:tcPr>
            <w:tcW w:w="2050" w:type="dxa"/>
            <w:vMerge/>
            <w:vAlign w:val="center"/>
          </w:tcPr>
          <w:p w:rsidR="006B3916" w:rsidRPr="009C4EF5" w:rsidRDefault="006B3916" w:rsidP="003107AA"/>
        </w:tc>
        <w:tc>
          <w:tcPr>
            <w:tcW w:w="2268" w:type="dxa"/>
            <w:vAlign w:val="center"/>
          </w:tcPr>
          <w:p w:rsidR="006B3916" w:rsidRPr="00813CB0" w:rsidRDefault="00B9293F" w:rsidP="003107AA">
            <w:r w:rsidRPr="00813CB0">
              <w:t>Długość wybudowanych lub przebudowanych ścieżek rowerowych i szlaków turystycznych</w:t>
            </w:r>
          </w:p>
        </w:tc>
        <w:tc>
          <w:tcPr>
            <w:tcW w:w="2202" w:type="dxa"/>
            <w:vAlign w:val="center"/>
          </w:tcPr>
          <w:p w:rsidR="006B3916" w:rsidRPr="00813CB0" w:rsidRDefault="00B9293F" w:rsidP="00B9293F">
            <w:r w:rsidRPr="00813CB0">
              <w:t>Liczba osób korzystających z wybudowanych lub przebudowanych ścieżek rowerowych i szlaków turystycznych</w:t>
            </w:r>
          </w:p>
        </w:tc>
        <w:tc>
          <w:tcPr>
            <w:tcW w:w="1494" w:type="dxa"/>
            <w:vMerge/>
            <w:vAlign w:val="center"/>
          </w:tcPr>
          <w:p w:rsidR="006B3916" w:rsidRPr="009C4EF5" w:rsidRDefault="006B3916" w:rsidP="003107AA"/>
        </w:tc>
      </w:tr>
      <w:tr w:rsidR="00641EEE" w:rsidRPr="009C4EF5" w:rsidTr="003E287A">
        <w:trPr>
          <w:jc w:val="center"/>
        </w:trPr>
        <w:tc>
          <w:tcPr>
            <w:tcW w:w="3726" w:type="dxa"/>
            <w:vAlign w:val="center"/>
          </w:tcPr>
          <w:p w:rsidR="00641EEE" w:rsidRPr="00FD365C" w:rsidRDefault="00641EEE" w:rsidP="00831427">
            <w:r w:rsidRPr="00FD365C">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restart"/>
            <w:vAlign w:val="center"/>
          </w:tcPr>
          <w:p w:rsidR="00641EEE" w:rsidRPr="009C4EF5" w:rsidRDefault="00641EEE" w:rsidP="003107AA">
            <w:r w:rsidRPr="009C4EF5">
              <w:t>3.1.2. Wsparcie działań w zakresie zachowania dziedzictwa lokalnego (EFRROW)</w:t>
            </w:r>
          </w:p>
        </w:tc>
        <w:tc>
          <w:tcPr>
            <w:tcW w:w="2268" w:type="dxa"/>
            <w:vMerge w:val="restart"/>
            <w:vAlign w:val="center"/>
          </w:tcPr>
          <w:p w:rsidR="00641EEE" w:rsidRPr="00152DBD" w:rsidRDefault="00641EEE" w:rsidP="003107AA">
            <w:r w:rsidRPr="00152DBD">
              <w:t>Liczba podmiotów wspartych w ramach operacji obejmujących wyposażenie mające na celu szerzenie lokalnej kultury i dziedzictwa lokalnego</w:t>
            </w:r>
          </w:p>
        </w:tc>
        <w:tc>
          <w:tcPr>
            <w:tcW w:w="2202" w:type="dxa"/>
            <w:vMerge w:val="restart"/>
            <w:vAlign w:val="center"/>
          </w:tcPr>
          <w:p w:rsidR="00641EEE" w:rsidRPr="00152DBD" w:rsidRDefault="00641EEE" w:rsidP="003107AA">
            <w:r w:rsidRPr="00152DBD">
              <w:t xml:space="preserve">Liczba osób, które skorzystały </w:t>
            </w:r>
          </w:p>
          <w:p w:rsidR="00641EEE" w:rsidRPr="00152DBD" w:rsidRDefault="00641EEE" w:rsidP="003107AA">
            <w:r w:rsidRPr="00152DBD">
              <w:t>z wyposażenia mającego na celu szerzenie lokalnej kultury i dziedzictwa lokalnego</w:t>
            </w:r>
          </w:p>
        </w:tc>
        <w:tc>
          <w:tcPr>
            <w:tcW w:w="1494" w:type="dxa"/>
            <w:vMerge/>
          </w:tcPr>
          <w:p w:rsidR="00641EEE" w:rsidRPr="009C4EF5" w:rsidRDefault="00641EEE" w:rsidP="003107AA"/>
        </w:tc>
      </w:tr>
      <w:tr w:rsidR="00641EEE" w:rsidRPr="009C4EF5" w:rsidTr="003E287A">
        <w:trPr>
          <w:jc w:val="center"/>
        </w:trPr>
        <w:tc>
          <w:tcPr>
            <w:tcW w:w="3726" w:type="dxa"/>
            <w:vAlign w:val="center"/>
          </w:tcPr>
          <w:p w:rsidR="00641EEE" w:rsidRPr="00FD365C" w:rsidRDefault="00641EEE"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ign w:val="center"/>
          </w:tcPr>
          <w:p w:rsidR="00641EEE" w:rsidRPr="009C4EF5" w:rsidRDefault="00641EEE" w:rsidP="003107AA"/>
        </w:tc>
        <w:tc>
          <w:tcPr>
            <w:tcW w:w="2268" w:type="dxa"/>
            <w:vMerge/>
            <w:vAlign w:val="center"/>
          </w:tcPr>
          <w:p w:rsidR="00641EEE" w:rsidRPr="009C4EF5" w:rsidRDefault="00641EEE" w:rsidP="003107AA"/>
        </w:tc>
        <w:tc>
          <w:tcPr>
            <w:tcW w:w="2202" w:type="dxa"/>
            <w:vMerge/>
            <w:vAlign w:val="center"/>
          </w:tcPr>
          <w:p w:rsidR="00641EEE" w:rsidRPr="00AD2588" w:rsidRDefault="00641EEE" w:rsidP="00AD2588">
            <w:pPr>
              <w:rPr>
                <w:color w:val="FF0000"/>
              </w:rPr>
            </w:pPr>
          </w:p>
        </w:tc>
        <w:tc>
          <w:tcPr>
            <w:tcW w:w="1494" w:type="dxa"/>
            <w:vMerge/>
          </w:tcPr>
          <w:p w:rsidR="00641EEE" w:rsidRPr="009C4EF5" w:rsidRDefault="00641EEE" w:rsidP="003107AA"/>
        </w:tc>
      </w:tr>
      <w:tr w:rsidR="00BC4508" w:rsidRPr="009C4EF5" w:rsidTr="003E287A">
        <w:trPr>
          <w:jc w:val="center"/>
        </w:trPr>
        <w:tc>
          <w:tcPr>
            <w:tcW w:w="3726" w:type="dxa"/>
            <w:vMerge w:val="restart"/>
            <w:vAlign w:val="center"/>
          </w:tcPr>
          <w:p w:rsidR="00BC4508" w:rsidRPr="009C4EF5" w:rsidRDefault="006B3916" w:rsidP="008C6237">
            <w:r>
              <w:t>1</w:t>
            </w:r>
            <w:r w:rsidR="008C6237">
              <w:t>6</w:t>
            </w:r>
            <w:r w:rsidR="00BC4508" w:rsidRPr="009C4EF5">
              <w:t>. Słaba promocja turystyczna obszaru LGD</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 xml:space="preserve">3.1.3. Promocja dziedzictwa kulturowego obszaru LGD </w:t>
            </w:r>
            <w:r w:rsidR="00013204">
              <w:t>"</w:t>
            </w:r>
            <w:r w:rsidRPr="009C4EF5">
              <w:t>Dolina Drwęcy</w:t>
            </w:r>
            <w:r w:rsidR="00013204">
              <w:t>"</w:t>
            </w:r>
            <w:r w:rsidRPr="009C4EF5">
              <w:t xml:space="preserve">  (EFRROW)</w:t>
            </w:r>
          </w:p>
        </w:tc>
        <w:tc>
          <w:tcPr>
            <w:tcW w:w="2268" w:type="dxa"/>
            <w:vAlign w:val="center"/>
          </w:tcPr>
          <w:p w:rsidR="00BC4508" w:rsidRPr="009C4EF5" w:rsidRDefault="00BC4508" w:rsidP="003107AA">
            <w:r w:rsidRPr="009C4EF5">
              <w:t>Liczba zrealizowanych projektów współpracy</w:t>
            </w:r>
          </w:p>
        </w:tc>
        <w:tc>
          <w:tcPr>
            <w:tcW w:w="2202" w:type="dxa"/>
            <w:vAlign w:val="center"/>
          </w:tcPr>
          <w:p w:rsidR="00BC4508" w:rsidRPr="009C4EF5" w:rsidRDefault="00BC4508" w:rsidP="003107AA">
            <w:pPr>
              <w:rPr>
                <w:highlight w:val="yellow"/>
              </w:rPr>
            </w:pPr>
            <w:r w:rsidRPr="00E1114B">
              <w:t>Liczba projektów wykorzystujący</w:t>
            </w:r>
            <w:r w:rsidR="002F50C9">
              <w:t>ch lokalne zasoby historyczne i </w:t>
            </w:r>
            <w:r w:rsidRPr="00E1114B">
              <w:t>kulturowe</w:t>
            </w:r>
          </w:p>
        </w:tc>
        <w:tc>
          <w:tcPr>
            <w:tcW w:w="1494" w:type="dxa"/>
            <w:vMerge/>
          </w:tcPr>
          <w:p w:rsidR="00BC4508" w:rsidRPr="009C4EF5" w:rsidRDefault="00BC4508" w:rsidP="003107AA"/>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Align w:val="center"/>
          </w:tcPr>
          <w:p w:rsidR="00BC4508" w:rsidRPr="009C4EF5" w:rsidRDefault="002F50C9" w:rsidP="003107AA">
            <w:r>
              <w:t>Liczba LGD uczestniczących w </w:t>
            </w:r>
            <w:r w:rsidR="00BC4508" w:rsidRPr="009C4EF5">
              <w:t>projektach współpracy</w:t>
            </w:r>
          </w:p>
        </w:tc>
        <w:tc>
          <w:tcPr>
            <w:tcW w:w="2202" w:type="dxa"/>
            <w:vAlign w:val="center"/>
          </w:tcPr>
          <w:p w:rsidR="00BC4508" w:rsidRPr="009C4EF5" w:rsidRDefault="00BC4508" w:rsidP="003107AA">
            <w:pPr>
              <w:rPr>
                <w:highlight w:val="yellow"/>
              </w:rPr>
            </w:pPr>
            <w:r w:rsidRPr="00E1114B">
              <w:t>Liczba projektów skierowanych do turystów</w:t>
            </w:r>
          </w:p>
        </w:tc>
        <w:tc>
          <w:tcPr>
            <w:tcW w:w="1494" w:type="dxa"/>
            <w:vMerge/>
          </w:tcPr>
          <w:p w:rsidR="00BC4508" w:rsidRPr="009C4EF5" w:rsidRDefault="00BC4508" w:rsidP="003107AA"/>
        </w:tc>
      </w:tr>
      <w:tr w:rsidR="00BC4508" w:rsidRPr="009C4EF5" w:rsidTr="003E287A">
        <w:trPr>
          <w:jc w:val="center"/>
        </w:trPr>
        <w:tc>
          <w:tcPr>
            <w:tcW w:w="3726" w:type="dxa"/>
            <w:vMerge w:val="restart"/>
            <w:vAlign w:val="center"/>
          </w:tcPr>
          <w:p w:rsidR="00BC4508" w:rsidRPr="009C4EF5" w:rsidRDefault="008C6237" w:rsidP="00831427">
            <w:r>
              <w:t>17</w:t>
            </w:r>
            <w:r w:rsidR="00BC4508" w:rsidRPr="009C4EF5">
              <w:t>. Niewłaściwy stan infrastruktury dróg lokalnych</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3.2. </w:t>
            </w:r>
            <w:r w:rsidRPr="009C4EF5">
              <w:t>Wzmocnienie spójności lokalnej poprzez rewitalizację fizyczną</w:t>
            </w:r>
          </w:p>
        </w:tc>
        <w:tc>
          <w:tcPr>
            <w:tcW w:w="2050" w:type="dxa"/>
            <w:vMerge w:val="restart"/>
            <w:vAlign w:val="center"/>
          </w:tcPr>
          <w:p w:rsidR="00BC4508" w:rsidRPr="009C4EF5" w:rsidRDefault="00515A55" w:rsidP="003107AA">
            <w:r>
              <w:t>3.2.1. Inwestycja w </w:t>
            </w:r>
            <w:r w:rsidR="00BC4508" w:rsidRPr="009C4EF5">
              <w:t>infrastrukturę drogową gwarantującą spójność terytorialną w zakresie włączenia społecznego (EFRROW)</w:t>
            </w:r>
          </w:p>
        </w:tc>
        <w:tc>
          <w:tcPr>
            <w:tcW w:w="2268" w:type="dxa"/>
            <w:vAlign w:val="center"/>
          </w:tcPr>
          <w:p w:rsidR="00BC4508" w:rsidRPr="009C4EF5" w:rsidRDefault="002F50C9" w:rsidP="003107AA">
            <w:r>
              <w:t>Liczba operacji w </w:t>
            </w:r>
            <w:r w:rsidR="00BC4508" w:rsidRPr="009C4EF5">
              <w:t>zakresie infrastruktury drogowej w zakresie włączenia społecznego</w:t>
            </w:r>
          </w:p>
        </w:tc>
        <w:tc>
          <w:tcPr>
            <w:tcW w:w="2202" w:type="dxa"/>
            <w:vMerge w:val="restart"/>
            <w:vAlign w:val="center"/>
          </w:tcPr>
          <w:p w:rsidR="00BC4508" w:rsidRPr="009C4EF5" w:rsidRDefault="00515A55" w:rsidP="00800AB5">
            <w:r>
              <w:t>Liczba osób korzystających z </w:t>
            </w:r>
            <w:r w:rsidR="00BC4508" w:rsidRPr="009C4EF5">
              <w:t xml:space="preserve">nowej lub </w:t>
            </w:r>
            <w:r w:rsidR="008574DC" w:rsidRPr="004A7DA2">
              <w:t xml:space="preserve">przebudowanej </w:t>
            </w:r>
            <w:r w:rsidR="00BC4508" w:rsidRPr="009C4EF5">
              <w:t>infrastruktury drogowej w zakresie włączenia społecznego</w:t>
            </w:r>
          </w:p>
        </w:tc>
        <w:tc>
          <w:tcPr>
            <w:tcW w:w="1494" w:type="dxa"/>
            <w:vMerge w:val="restart"/>
            <w:vAlign w:val="center"/>
          </w:tcPr>
          <w:p w:rsidR="00BC4508" w:rsidRPr="009C4EF5" w:rsidRDefault="00BC4508" w:rsidP="003107AA">
            <w:r w:rsidRPr="009C4EF5">
              <w:t>Spadek liczby wymeldowań ogółem do innych powiatów na obszarze LGD do 2023 roku</w:t>
            </w:r>
          </w:p>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pPr>
              <w:rPr>
                <w:b/>
              </w:rPr>
            </w:pPr>
          </w:p>
        </w:tc>
        <w:tc>
          <w:tcPr>
            <w:tcW w:w="2050" w:type="dxa"/>
            <w:vMerge/>
            <w:vAlign w:val="center"/>
          </w:tcPr>
          <w:p w:rsidR="00BC4508" w:rsidRPr="009C4EF5" w:rsidRDefault="00BC4508" w:rsidP="003107AA"/>
        </w:tc>
        <w:tc>
          <w:tcPr>
            <w:tcW w:w="2268" w:type="dxa"/>
            <w:vAlign w:val="center"/>
          </w:tcPr>
          <w:p w:rsidR="00BC4508" w:rsidRPr="009C4EF5" w:rsidRDefault="00515A55" w:rsidP="005416CD">
            <w:r>
              <w:t>Długość wybudowanych i </w:t>
            </w:r>
            <w:r w:rsidR="00BC4508" w:rsidRPr="009C4EF5">
              <w:t xml:space="preserve">przebudowanych dróg </w:t>
            </w:r>
            <w:r w:rsidR="005416CD">
              <w:t>lokalnych</w:t>
            </w:r>
          </w:p>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8C6237" w:rsidRPr="009C4EF5" w:rsidTr="003E287A">
        <w:trPr>
          <w:jc w:val="center"/>
        </w:trPr>
        <w:tc>
          <w:tcPr>
            <w:tcW w:w="3726" w:type="dxa"/>
            <w:vMerge w:val="restart"/>
            <w:vAlign w:val="center"/>
          </w:tcPr>
          <w:p w:rsidR="008C6237" w:rsidRPr="009C4EF5" w:rsidRDefault="008C6237" w:rsidP="003107AA">
            <w:r w:rsidRPr="009C4EF5">
              <w:t>18. Duża liczba obszarów zdegradowanych wymagających rewital</w:t>
            </w:r>
            <w:r w:rsidR="00515A55">
              <w:t>izacji fizycznej,  społecznej i </w:t>
            </w:r>
            <w:r w:rsidRPr="009C4EF5">
              <w:t>gospodarczej</w:t>
            </w:r>
          </w:p>
        </w:tc>
        <w:tc>
          <w:tcPr>
            <w:tcW w:w="1417" w:type="dxa"/>
            <w:vMerge/>
            <w:vAlign w:val="center"/>
          </w:tcPr>
          <w:p w:rsidR="008C6237" w:rsidRPr="009C4EF5" w:rsidRDefault="008C6237" w:rsidP="003107AA"/>
        </w:tc>
        <w:tc>
          <w:tcPr>
            <w:tcW w:w="1418" w:type="dxa"/>
            <w:vMerge/>
            <w:vAlign w:val="center"/>
          </w:tcPr>
          <w:p w:rsidR="008C6237" w:rsidRPr="009C4EF5" w:rsidRDefault="008C6237" w:rsidP="003107AA"/>
        </w:tc>
        <w:tc>
          <w:tcPr>
            <w:tcW w:w="2050" w:type="dxa"/>
            <w:vMerge w:val="restart"/>
            <w:vAlign w:val="center"/>
          </w:tcPr>
          <w:p w:rsidR="008C6237" w:rsidRPr="009C4EF5" w:rsidRDefault="008C6237" w:rsidP="00BF11D6">
            <w:r w:rsidRPr="009C4EF5">
              <w:t>3.2.</w:t>
            </w:r>
            <w:r w:rsidR="00BF11D6">
              <w:t>2</w:t>
            </w:r>
            <w:r w:rsidRPr="009C4EF5">
              <w:t xml:space="preserve">. Działania infrastrukturalne przyczyniające się do rewitalizacji </w:t>
            </w:r>
            <w:r w:rsidRPr="009C4EF5">
              <w:lastRenderedPageBreak/>
              <w:t>społeczno-gospodarczej miejscowości wiejskich (EFRR)</w:t>
            </w:r>
          </w:p>
        </w:tc>
        <w:tc>
          <w:tcPr>
            <w:tcW w:w="2268" w:type="dxa"/>
            <w:vAlign w:val="center"/>
          </w:tcPr>
          <w:p w:rsidR="008C6237" w:rsidRPr="009C4EF5" w:rsidRDefault="008C6237" w:rsidP="003107AA">
            <w:r w:rsidRPr="009C4EF5">
              <w:lastRenderedPageBreak/>
              <w:t xml:space="preserve">Liczba obiektów infrastruktury zlokalizowanych na </w:t>
            </w:r>
            <w:proofErr w:type="spellStart"/>
            <w:r w:rsidRPr="009C4EF5">
              <w:t>rewitalizowanych</w:t>
            </w:r>
            <w:proofErr w:type="spellEnd"/>
            <w:r w:rsidRPr="009C4EF5">
              <w:t xml:space="preserve"> </w:t>
            </w:r>
            <w:r w:rsidRPr="009C4EF5">
              <w:lastRenderedPageBreak/>
              <w:t>obszarach</w:t>
            </w:r>
          </w:p>
        </w:tc>
        <w:tc>
          <w:tcPr>
            <w:tcW w:w="2202" w:type="dxa"/>
            <w:vMerge w:val="restart"/>
            <w:vAlign w:val="center"/>
          </w:tcPr>
          <w:p w:rsidR="008C6237" w:rsidRPr="009C4EF5" w:rsidRDefault="008C6237" w:rsidP="003107AA">
            <w:r w:rsidRPr="009C4EF5">
              <w:lastRenderedPageBreak/>
              <w:t xml:space="preserve">Liczba osób korzystających ze </w:t>
            </w:r>
            <w:proofErr w:type="spellStart"/>
            <w:r w:rsidRPr="009C4EF5">
              <w:t>zrewitalizowanych</w:t>
            </w:r>
            <w:proofErr w:type="spellEnd"/>
            <w:r w:rsidRPr="009C4EF5">
              <w:t xml:space="preserve"> </w:t>
            </w:r>
            <w:proofErr w:type="spellStart"/>
            <w:r w:rsidRPr="009C4EF5">
              <w:t>obszarów</w:t>
            </w:r>
            <w:proofErr w:type="spellEnd"/>
          </w:p>
        </w:tc>
        <w:tc>
          <w:tcPr>
            <w:tcW w:w="1494" w:type="dxa"/>
            <w:vMerge/>
          </w:tcPr>
          <w:p w:rsidR="008C6237" w:rsidRPr="009C4EF5" w:rsidRDefault="008C6237" w:rsidP="003107AA"/>
        </w:tc>
      </w:tr>
      <w:tr w:rsidR="008C6237" w:rsidRPr="009C4EF5" w:rsidTr="003E287A">
        <w:trPr>
          <w:jc w:val="center"/>
        </w:trPr>
        <w:tc>
          <w:tcPr>
            <w:tcW w:w="3726" w:type="dxa"/>
            <w:vMerge/>
            <w:vAlign w:val="center"/>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Powierzchnia obszarów objętych rewitalizacją</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r w:rsidR="008C6237" w:rsidRPr="009C4EF5" w:rsidTr="003E287A">
        <w:trPr>
          <w:jc w:val="center"/>
        </w:trPr>
        <w:tc>
          <w:tcPr>
            <w:tcW w:w="3726" w:type="dxa"/>
            <w:vMerge/>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Długość przebudowanych dróg gminnych</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8" w:name="_Toc439086517"/>
      <w:r w:rsidRPr="003107AA">
        <w:rPr>
          <w:sz w:val="20"/>
          <w:szCs w:val="20"/>
        </w:rPr>
        <w:t xml:space="preserve">Tabela </w:t>
      </w:r>
      <w:r w:rsidR="000621AC" w:rsidRPr="003107AA">
        <w:rPr>
          <w:sz w:val="20"/>
          <w:szCs w:val="20"/>
        </w:rPr>
        <w:fldChar w:fldCharType="begin"/>
      </w:r>
      <w:r w:rsidRPr="003107AA">
        <w:rPr>
          <w:sz w:val="20"/>
          <w:szCs w:val="20"/>
        </w:rPr>
        <w:instrText xml:space="preserve"> SEQ Tabela \* ARABIC </w:instrText>
      </w:r>
      <w:r w:rsidR="000621AC" w:rsidRPr="003107AA">
        <w:rPr>
          <w:sz w:val="20"/>
          <w:szCs w:val="20"/>
        </w:rPr>
        <w:fldChar w:fldCharType="separate"/>
      </w:r>
      <w:r w:rsidR="00B621E4">
        <w:rPr>
          <w:noProof/>
          <w:sz w:val="20"/>
          <w:szCs w:val="20"/>
        </w:rPr>
        <w:t>33</w:t>
      </w:r>
      <w:r w:rsidR="000621AC" w:rsidRPr="003107AA">
        <w:rPr>
          <w:sz w:val="20"/>
          <w:szCs w:val="20"/>
        </w:rPr>
        <w:fldChar w:fldCharType="end"/>
      </w:r>
      <w:r w:rsidRPr="003107AA">
        <w:rPr>
          <w:sz w:val="20"/>
          <w:szCs w:val="20"/>
        </w:rPr>
        <w:t xml:space="preserve"> Wskaźniki przypisane do Celu ogólnego nr 1</w:t>
      </w:r>
      <w:bookmarkEnd w:id="58"/>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3465</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Arial"/>
                <w:color w:val="000000"/>
                <w:lang w:eastAsia="pl-PL"/>
              </w:rPr>
            </w:pPr>
            <w:r>
              <w:rPr>
                <w:rFonts w:eastAsia="Times New Roman" w:cs="Arial"/>
                <w:color w:val="000000"/>
                <w:lang w:eastAsia="pl-PL"/>
              </w:rPr>
              <w:t>Dane GUS zamieszczone w </w:t>
            </w:r>
            <w:r w:rsidR="003107AA" w:rsidRPr="009C4EF5">
              <w:rPr>
                <w:rFonts w:eastAsia="Times New Roman" w:cs="Arial"/>
                <w:color w:val="000000"/>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18</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 xml:space="preserve"> 12</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Mikro i małe przedsiębiorstwa oraz mieszkańcy obszaru LSR w szczególności grupy </w:t>
            </w:r>
            <w:proofErr w:type="spellStart"/>
            <w:r w:rsidRPr="009C4EF5">
              <w:rPr>
                <w:rFonts w:eastAsia="Times New Roman" w:cs="Arial"/>
                <w:color w:val="000000"/>
                <w:lang w:eastAsia="pl-PL"/>
              </w:rPr>
              <w:t>defaworyzowane</w:t>
            </w:r>
            <w:proofErr w:type="spellEnd"/>
            <w:r w:rsidRPr="009C4EF5">
              <w:rPr>
                <w:rFonts w:eastAsia="Times New Roman" w:cs="Arial"/>
                <w:color w:val="000000"/>
                <w:lang w:eastAsia="pl-PL"/>
              </w:rPr>
              <w:t xml:space="preserv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9" w:name="_Toc439086518"/>
      <w:r w:rsidRPr="003107AA">
        <w:rPr>
          <w:sz w:val="20"/>
          <w:szCs w:val="20"/>
        </w:rPr>
        <w:t xml:space="preserve">Tabela </w:t>
      </w:r>
      <w:r w:rsidR="000621AC" w:rsidRPr="003107AA">
        <w:rPr>
          <w:sz w:val="20"/>
          <w:szCs w:val="20"/>
        </w:rPr>
        <w:fldChar w:fldCharType="begin"/>
      </w:r>
      <w:r w:rsidRPr="003107AA">
        <w:rPr>
          <w:sz w:val="20"/>
          <w:szCs w:val="20"/>
        </w:rPr>
        <w:instrText xml:space="preserve"> SEQ Tabela \* ARABIC </w:instrText>
      </w:r>
      <w:r w:rsidR="000621AC" w:rsidRPr="003107AA">
        <w:rPr>
          <w:sz w:val="20"/>
          <w:szCs w:val="20"/>
        </w:rPr>
        <w:fldChar w:fldCharType="separate"/>
      </w:r>
      <w:r w:rsidR="00B621E4">
        <w:rPr>
          <w:noProof/>
          <w:sz w:val="20"/>
          <w:szCs w:val="20"/>
        </w:rPr>
        <w:t>34</w:t>
      </w:r>
      <w:r w:rsidR="000621AC" w:rsidRPr="003107AA">
        <w:rPr>
          <w:sz w:val="20"/>
          <w:szCs w:val="20"/>
        </w:rPr>
        <w:fldChar w:fldCharType="end"/>
      </w:r>
      <w:r w:rsidRPr="003107AA">
        <w:rPr>
          <w:sz w:val="20"/>
          <w:szCs w:val="20"/>
        </w:rPr>
        <w:t xml:space="preserve"> Wskaźniki przypisane do Celu ogólnego nr 2</w:t>
      </w:r>
      <w:bookmarkEnd w:id="59"/>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28</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mieszkańców obszaru LGD oraz wsparcie inicjatyw w zakresie organizowania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60" w:name="_Toc439086519"/>
      <w:r w:rsidRPr="003107AA">
        <w:rPr>
          <w:sz w:val="20"/>
          <w:szCs w:val="20"/>
        </w:rPr>
        <w:t xml:space="preserve">Tabela </w:t>
      </w:r>
      <w:r w:rsidR="000621AC" w:rsidRPr="003107AA">
        <w:rPr>
          <w:sz w:val="20"/>
          <w:szCs w:val="20"/>
        </w:rPr>
        <w:fldChar w:fldCharType="begin"/>
      </w:r>
      <w:r w:rsidRPr="003107AA">
        <w:rPr>
          <w:sz w:val="20"/>
          <w:szCs w:val="20"/>
        </w:rPr>
        <w:instrText xml:space="preserve"> SEQ Tabela \* ARABIC </w:instrText>
      </w:r>
      <w:r w:rsidR="000621AC" w:rsidRPr="003107AA">
        <w:rPr>
          <w:sz w:val="20"/>
          <w:szCs w:val="20"/>
        </w:rPr>
        <w:fldChar w:fldCharType="separate"/>
      </w:r>
      <w:r w:rsidR="00B621E4">
        <w:rPr>
          <w:noProof/>
          <w:sz w:val="20"/>
          <w:szCs w:val="20"/>
        </w:rPr>
        <w:t>35</w:t>
      </w:r>
      <w:r w:rsidR="000621AC" w:rsidRPr="003107AA">
        <w:rPr>
          <w:sz w:val="20"/>
          <w:szCs w:val="20"/>
        </w:rPr>
        <w:fldChar w:fldCharType="end"/>
      </w:r>
      <w:r w:rsidRPr="003107AA">
        <w:rPr>
          <w:sz w:val="20"/>
          <w:szCs w:val="20"/>
        </w:rPr>
        <w:t xml:space="preserve"> Wskaźniki przypisane do Celu ogólnego nr 3</w:t>
      </w:r>
      <w:bookmarkEnd w:id="60"/>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24150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310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lastRenderedPageBreak/>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B30740" w:rsidP="006B3916">
            <w:pPr>
              <w:spacing w:after="0" w:line="240" w:lineRule="auto"/>
              <w:jc w:val="right"/>
              <w:rPr>
                <w:rFonts w:eastAsia="Times New Roman" w:cs="Times New Roman"/>
                <w:lang w:eastAsia="pl-PL"/>
              </w:rPr>
            </w:pPr>
            <w:r w:rsidRPr="002950EE">
              <w:rPr>
                <w:rFonts w:eastAsia="Times New Roman" w:cs="Times New Roman"/>
                <w:lang w:eastAsia="pl-PL"/>
              </w:rPr>
              <w:t>2 500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center"/>
              <w:rPr>
                <w:rFonts w:eastAsia="Times New Roman" w:cs="Times New Roman"/>
                <w:lang w:eastAsia="pl-PL"/>
              </w:rPr>
            </w:pPr>
            <w:r w:rsidRPr="002950EE">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6B3916">
            <w:pPr>
              <w:spacing w:after="0" w:line="240" w:lineRule="auto"/>
              <w:jc w:val="right"/>
              <w:rPr>
                <w:rFonts w:eastAsia="Times New Roman" w:cs="Times New Roman"/>
                <w:lang w:eastAsia="pl-PL"/>
              </w:rPr>
            </w:pPr>
            <w:r w:rsidRPr="00406A85">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54B2B">
            <w:pPr>
              <w:spacing w:after="0" w:line="240" w:lineRule="auto"/>
              <w:rPr>
                <w:rFonts w:eastAsia="Times New Roman" w:cs="Times New Roman"/>
                <w:lang w:eastAsia="pl-PL"/>
              </w:rPr>
            </w:pPr>
            <w:r w:rsidRPr="00E44836">
              <w:rPr>
                <w:rFonts w:eastAsia="Times New Roman" w:cs="Times New Roman"/>
                <w:lang w:eastAsia="pl-PL"/>
              </w:rPr>
              <w:t>Liczba osób, które skorzystały</w:t>
            </w:r>
            <w:r w:rsidR="0006151A" w:rsidRPr="00E44836">
              <w:rPr>
                <w:rFonts w:eastAsia="Times New Roman" w:cs="Times New Roman"/>
                <w:strike/>
                <w:lang w:eastAsia="pl-PL"/>
              </w:rPr>
              <w:t xml:space="preserve"> </w:t>
            </w:r>
            <w:r w:rsidR="0006151A" w:rsidRPr="00E44836">
              <w:rPr>
                <w:rFonts w:eastAsia="Times New Roman" w:cs="Times New Roman"/>
                <w:lang w:eastAsia="pl-PL"/>
              </w:rPr>
              <w:t>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2103A1"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4</w:t>
            </w:r>
            <w:r w:rsidR="003107AA" w:rsidRPr="009C4EF5">
              <w:rPr>
                <w:rFonts w:eastAsia="Times New Roman" w:cs="Times New Roman"/>
                <w:color w:val="000000"/>
                <w:lang w:eastAsia="pl-PL"/>
              </w:rPr>
              <w:t>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ze </w:t>
            </w:r>
            <w:proofErr w:type="spellStart"/>
            <w:r w:rsidRPr="00E44836">
              <w:rPr>
                <w:rFonts w:eastAsia="Times New Roman" w:cs="Times New Roman"/>
                <w:lang w:eastAsia="pl-PL"/>
              </w:rPr>
              <w:t>zrewitalizowanych</w:t>
            </w:r>
            <w:proofErr w:type="spellEnd"/>
            <w:r w:rsidRPr="00E44836">
              <w:rPr>
                <w:rFonts w:eastAsia="Times New Roman" w:cs="Times New Roman"/>
                <w:lang w:eastAsia="pl-PL"/>
              </w:rPr>
              <w:t xml:space="preserve"> </w:t>
            </w:r>
            <w:proofErr w:type="spellStart"/>
            <w:r w:rsidRPr="00E44836">
              <w:rPr>
                <w:rFonts w:eastAsia="Times New Roman" w:cs="Times New Roman"/>
                <w:lang w:eastAsia="pl-PL"/>
              </w:rPr>
              <w:t>obszarów</w:t>
            </w:r>
            <w:proofErr w:type="spellEnd"/>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694463">
        <w:trPr>
          <w:trHeight w:val="1181"/>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8C4F29" w:rsidRDefault="00EA6B9E" w:rsidP="00ED1BBB">
            <w:pPr>
              <w:spacing w:after="0" w:line="240" w:lineRule="auto"/>
              <w:jc w:val="right"/>
              <w:rPr>
                <w:rFonts w:eastAsia="Times New Roman" w:cs="Times New Roman"/>
                <w:lang w:eastAsia="pl-PL"/>
              </w:rPr>
            </w:pPr>
            <w:r w:rsidRPr="008C4F29">
              <w:rPr>
                <w:rFonts w:eastAsia="Times New Roman" w:cs="Times New Roman"/>
                <w:lang w:eastAsia="pl-PL"/>
              </w:rPr>
              <w:t xml:space="preserve">    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EA6B9E" w:rsidRPr="009C4EF5" w:rsidTr="00694463">
        <w:trPr>
          <w:trHeight w:val="1169"/>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694463">
        <w:trPr>
          <w:trHeight w:val="1160"/>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Długość wybudowanych lub przebudowanych ścieżek rowerowych i 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B5968">
        <w:trPr>
          <w:trHeight w:val="1951"/>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Dane z ankiet monitorujących Wnioskodawców</w:t>
            </w:r>
          </w:p>
        </w:tc>
      </w:tr>
      <w:tr w:rsidR="00AD3622" w:rsidRPr="009C4EF5" w:rsidTr="009B5968">
        <w:trPr>
          <w:trHeight w:val="746"/>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2</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694463">
        <w:trPr>
          <w:trHeight w:val="14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infrastrukturę drogową gwarantującą spójność terytorialną w zakresie włączenia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5C6D40" w:rsidRDefault="00AD3622" w:rsidP="003107AA">
            <w:pPr>
              <w:spacing w:after="0" w:line="240" w:lineRule="auto"/>
              <w:jc w:val="right"/>
              <w:rPr>
                <w:rFonts w:eastAsia="Times New Roman" w:cs="Times New Roman"/>
                <w:lang w:eastAsia="pl-PL"/>
              </w:rPr>
            </w:pPr>
            <w:r w:rsidRPr="005C6D40">
              <w:rPr>
                <w:rFonts w:eastAsia="Times New Roman" w:cs="Times New Roman"/>
                <w:lang w:eastAsia="pl-PL"/>
              </w:rPr>
              <w:t>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065"/>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4,5</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41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758"/>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25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6241" w:rsidRDefault="00B0136C" w:rsidP="003107AA">
            <w:pPr>
              <w:spacing w:after="0" w:line="240" w:lineRule="auto"/>
              <w:jc w:val="right"/>
              <w:rPr>
                <w:rFonts w:eastAsia="Times New Roman" w:cs="Times New Roman"/>
                <w:color w:val="FF0000"/>
                <w:lang w:eastAsia="pl-PL"/>
              </w:rPr>
            </w:pPr>
            <w:r w:rsidRPr="00F04367">
              <w:rPr>
                <w:rFonts w:eastAsia="Times New Roman" w:cs="Times New Roman"/>
                <w:strike/>
                <w:color w:val="FF0000"/>
                <w:lang w:eastAsia="pl-PL"/>
              </w:rPr>
              <w:t>0,81</w:t>
            </w:r>
            <w:r w:rsidR="00F04367">
              <w:rPr>
                <w:rFonts w:eastAsia="Times New Roman" w:cs="Times New Roman"/>
                <w:color w:val="FF0000"/>
                <w:lang w:eastAsia="pl-PL"/>
              </w:rPr>
              <w:t xml:space="preserve"> </w:t>
            </w:r>
          </w:p>
          <w:p w:rsidR="00AD3622" w:rsidRPr="00F04367" w:rsidRDefault="00F04367" w:rsidP="003107AA">
            <w:pPr>
              <w:spacing w:after="0" w:line="240" w:lineRule="auto"/>
              <w:jc w:val="right"/>
              <w:rPr>
                <w:rFonts w:eastAsia="Times New Roman" w:cs="Times New Roman"/>
                <w:color w:val="FF0000"/>
                <w:lang w:eastAsia="pl-PL"/>
              </w:rPr>
            </w:pPr>
            <w:r>
              <w:rPr>
                <w:rFonts w:eastAsia="Times New Roman" w:cs="Times New Roman"/>
                <w:color w:val="FF0000"/>
                <w:lang w:eastAsia="pl-PL"/>
              </w:rPr>
              <w:t>0,435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C078CB">
      <w:pPr>
        <w:pStyle w:val="Nagwek2"/>
      </w:pPr>
      <w:bookmarkStart w:id="61" w:name="_Toc438459065"/>
      <w:r w:rsidRPr="00CE279F">
        <w:t>Opis przedsięwzięć</w:t>
      </w:r>
      <w:bookmarkEnd w:id="61"/>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F24A1D">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F24A1D">
            <w:pPr>
              <w:spacing w:afterLines="40"/>
              <w:jc w:val="both"/>
              <w:rPr>
                <w:b/>
              </w:rPr>
            </w:pPr>
            <w:r w:rsidRPr="001452BD">
              <w:rPr>
                <w:b/>
              </w:rPr>
              <w:t xml:space="preserve">Źródło finansowania: </w:t>
            </w:r>
          </w:p>
          <w:p w:rsidR="00DA7D00" w:rsidRDefault="00DA7D00" w:rsidP="00F24A1D">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F24A1D">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F24A1D">
            <w:pPr>
              <w:spacing w:afterLines="40"/>
              <w:jc w:val="both"/>
              <w:rPr>
                <w:b/>
              </w:rPr>
            </w:pPr>
            <w:r w:rsidRPr="001452BD">
              <w:rPr>
                <w:b/>
              </w:rPr>
              <w:t>Uzasadnienie wyboru przedsięwzięcia oraz sposób realizacji:</w:t>
            </w:r>
          </w:p>
          <w:p w:rsidR="00DA7D00" w:rsidRDefault="00DA7D00" w:rsidP="00F24A1D">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F24A1D">
            <w:pPr>
              <w:spacing w:afterLines="40"/>
              <w:jc w:val="both"/>
            </w:pPr>
            <w:r>
              <w:t xml:space="preserve">Przedsięwzięcie ma na celu </w:t>
            </w:r>
            <w:r w:rsidRPr="00FF3DA9">
              <w:rPr>
                <w:b/>
              </w:rPr>
              <w:t>wsparcie tworzenia nowych przedsiębiorstw</w:t>
            </w:r>
            <w:r>
              <w:t xml:space="preserve"> (</w:t>
            </w:r>
            <w:proofErr w:type="spellStart"/>
            <w:r>
              <w:t>samozatrudnienia</w:t>
            </w:r>
            <w:proofErr w:type="spellEnd"/>
            <w:r>
              <w:t>), które jest jedną ze skutecznych form przeciwdziałani</w:t>
            </w:r>
            <w:r w:rsidR="003D04C0">
              <w:t>a</w:t>
            </w:r>
            <w:r>
              <w:t xml:space="preserve"> bezrobociu i podnoszenia poziomu aktywności gospodarczej społeczeństwa. </w:t>
            </w:r>
          </w:p>
          <w:p w:rsidR="00DA7D00" w:rsidRPr="004D27B4" w:rsidRDefault="00DA7D00" w:rsidP="00F24A1D">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F24A1D">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F24A1D">
            <w:pPr>
              <w:pStyle w:val="Akapitzlist"/>
              <w:numPr>
                <w:ilvl w:val="0"/>
                <w:numId w:val="8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524089" w:rsidRDefault="00524089" w:rsidP="00F24A1D">
            <w:pPr>
              <w:pStyle w:val="Akapitzlist"/>
              <w:spacing w:afterLines="40"/>
              <w:jc w:val="both"/>
            </w:pPr>
            <w:r>
              <w:t>Kody PKD:</w:t>
            </w:r>
          </w:p>
          <w:p w:rsidR="00524089" w:rsidRPr="00A06F27" w:rsidRDefault="000734BA" w:rsidP="00F24A1D">
            <w:pPr>
              <w:pStyle w:val="Akapitzlist"/>
              <w:spacing w:afterLines="40"/>
              <w:jc w:val="both"/>
              <w:rPr>
                <w:i/>
              </w:rPr>
            </w:pPr>
            <w:r w:rsidRPr="00A06F27">
              <w:rPr>
                <w:i/>
              </w:rPr>
              <w:t>55.10.Z Hotele i podobne obiekty zakwaterowania</w:t>
            </w:r>
          </w:p>
          <w:p w:rsidR="000734BA" w:rsidRPr="00A06F27" w:rsidRDefault="000734BA" w:rsidP="00F24A1D">
            <w:pPr>
              <w:pStyle w:val="Akapitzlist"/>
              <w:spacing w:afterLines="40"/>
              <w:jc w:val="both"/>
              <w:rPr>
                <w:i/>
              </w:rPr>
            </w:pPr>
            <w:r w:rsidRPr="00A06F27">
              <w:rPr>
                <w:i/>
              </w:rPr>
              <w:t>55.20.Z Obiekty noclegowe turystyczne i miejsca krótkotrwałego zakwaterowania</w:t>
            </w:r>
          </w:p>
          <w:p w:rsidR="000734BA" w:rsidRPr="00A06F27" w:rsidRDefault="000734BA" w:rsidP="00F24A1D">
            <w:pPr>
              <w:pStyle w:val="Akapitzlist"/>
              <w:spacing w:afterLines="40"/>
              <w:jc w:val="both"/>
              <w:rPr>
                <w:i/>
              </w:rPr>
            </w:pPr>
            <w:r w:rsidRPr="00A06F27">
              <w:rPr>
                <w:i/>
              </w:rPr>
              <w:t>55.30.Z Pola kempingowe (włączając pola dla pojazdów kempingowych) i pola namiotowe</w:t>
            </w:r>
          </w:p>
          <w:p w:rsidR="000734BA" w:rsidRPr="00A06F27" w:rsidRDefault="000734BA" w:rsidP="00F24A1D">
            <w:pPr>
              <w:pStyle w:val="Akapitzlist"/>
              <w:spacing w:afterLines="40"/>
              <w:jc w:val="both"/>
              <w:rPr>
                <w:i/>
              </w:rPr>
            </w:pPr>
            <w:r w:rsidRPr="00A06F27">
              <w:rPr>
                <w:i/>
              </w:rPr>
              <w:t>55.90.Z Pozostałe zakwaterowanie</w:t>
            </w:r>
          </w:p>
          <w:p w:rsidR="000734BA" w:rsidRPr="00A06F27" w:rsidRDefault="000734BA" w:rsidP="00F24A1D">
            <w:pPr>
              <w:pStyle w:val="Akapitzlist"/>
              <w:spacing w:afterLines="40"/>
              <w:jc w:val="both"/>
              <w:rPr>
                <w:i/>
              </w:rPr>
            </w:pPr>
            <w:r w:rsidRPr="00A06F27">
              <w:rPr>
                <w:i/>
              </w:rPr>
              <w:t>56.10.A Restauracje i inne stałe placówki gastronomiczne</w:t>
            </w:r>
          </w:p>
          <w:p w:rsidR="000734BA" w:rsidRPr="00CE3D1E" w:rsidRDefault="000734BA" w:rsidP="00F24A1D">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F24A1D">
            <w:pPr>
              <w:pStyle w:val="Akapitzlist"/>
              <w:spacing w:afterLines="40"/>
              <w:jc w:val="both"/>
              <w:rPr>
                <w:i/>
              </w:rPr>
            </w:pPr>
            <w:r w:rsidRPr="00CE3D1E">
              <w:rPr>
                <w:i/>
              </w:rPr>
              <w:t>56.29.Z Pozostała usługowa działalność gastronomiczna</w:t>
            </w:r>
          </w:p>
          <w:p w:rsidR="000734BA" w:rsidRPr="00CE3D1E" w:rsidRDefault="000734BA" w:rsidP="00F24A1D">
            <w:pPr>
              <w:pStyle w:val="Akapitzlist"/>
              <w:spacing w:afterLines="40"/>
              <w:jc w:val="both"/>
              <w:rPr>
                <w:i/>
              </w:rPr>
            </w:pPr>
            <w:r w:rsidRPr="00CE3D1E">
              <w:rPr>
                <w:i/>
              </w:rPr>
              <w:t>56.30.Z Przygotowywanie i podawanie napojów</w:t>
            </w:r>
          </w:p>
          <w:p w:rsidR="007A7FB0" w:rsidRPr="00CE3D1E" w:rsidRDefault="007A7FB0" w:rsidP="00F24A1D">
            <w:pPr>
              <w:pStyle w:val="Akapitzlist"/>
              <w:spacing w:afterLines="40"/>
              <w:jc w:val="both"/>
              <w:rPr>
                <w:i/>
              </w:rPr>
            </w:pPr>
            <w:r w:rsidRPr="00CE3D1E">
              <w:rPr>
                <w:i/>
              </w:rPr>
              <w:t>79.11.A Działalność agentów turystycznych</w:t>
            </w:r>
          </w:p>
          <w:p w:rsidR="007A7FB0" w:rsidRPr="00CE3D1E" w:rsidRDefault="007A7FB0" w:rsidP="00F24A1D">
            <w:pPr>
              <w:pStyle w:val="Akapitzlist"/>
              <w:spacing w:afterLines="40"/>
              <w:jc w:val="both"/>
              <w:rPr>
                <w:i/>
              </w:rPr>
            </w:pPr>
            <w:r w:rsidRPr="00CE3D1E">
              <w:rPr>
                <w:i/>
              </w:rPr>
              <w:t>79.11.B Działalność pośredników turystycznych</w:t>
            </w:r>
          </w:p>
          <w:p w:rsidR="00230A44" w:rsidRPr="00CE3D1E" w:rsidRDefault="00A06F27" w:rsidP="00F24A1D">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F24A1D">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F24A1D">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F24A1D">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F24A1D">
            <w:pPr>
              <w:pStyle w:val="Akapitzlist"/>
              <w:spacing w:afterLines="40"/>
              <w:jc w:val="both"/>
              <w:rPr>
                <w:i/>
              </w:rPr>
            </w:pPr>
            <w:r w:rsidRPr="00CE3D1E">
              <w:rPr>
                <w:i/>
              </w:rPr>
              <w:t>93.11.Z Działalność obiektów sportowych</w:t>
            </w:r>
          </w:p>
          <w:p w:rsidR="000734BA" w:rsidRPr="00CE3D1E" w:rsidRDefault="000734BA" w:rsidP="00F24A1D">
            <w:pPr>
              <w:pStyle w:val="Akapitzlist"/>
              <w:spacing w:afterLines="40"/>
              <w:jc w:val="both"/>
              <w:rPr>
                <w:i/>
              </w:rPr>
            </w:pPr>
            <w:r w:rsidRPr="00CE3D1E">
              <w:rPr>
                <w:i/>
              </w:rPr>
              <w:t>93.19.Z Pozostała działalność związana ze sportem</w:t>
            </w:r>
          </w:p>
          <w:p w:rsidR="000734BA" w:rsidRPr="00CE3D1E" w:rsidRDefault="000734BA" w:rsidP="00F24A1D">
            <w:pPr>
              <w:pStyle w:val="Akapitzlist"/>
              <w:spacing w:afterLines="40"/>
              <w:jc w:val="both"/>
              <w:rPr>
                <w:i/>
              </w:rPr>
            </w:pPr>
            <w:r w:rsidRPr="00CE3D1E">
              <w:rPr>
                <w:i/>
              </w:rPr>
              <w:t>93.21.Z Działalność wesołych miasteczek i parków rozrywki</w:t>
            </w:r>
          </w:p>
          <w:p w:rsidR="000734BA" w:rsidRPr="00CE3D1E" w:rsidRDefault="000734BA" w:rsidP="00F24A1D">
            <w:pPr>
              <w:pStyle w:val="Akapitzlist"/>
              <w:spacing w:afterLines="40"/>
              <w:jc w:val="both"/>
              <w:rPr>
                <w:i/>
              </w:rPr>
            </w:pPr>
            <w:r w:rsidRPr="00CE3D1E">
              <w:rPr>
                <w:i/>
              </w:rPr>
              <w:t>93.29.Z Pozostała działalność rozrywkowa i rekreacyjna</w:t>
            </w:r>
          </w:p>
          <w:p w:rsidR="00524089" w:rsidRPr="00CE3D1E" w:rsidRDefault="00B81161" w:rsidP="00F24A1D">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F24A1D">
            <w:pPr>
              <w:pStyle w:val="Akapitzlist"/>
              <w:spacing w:afterLines="40"/>
              <w:jc w:val="both"/>
            </w:pPr>
            <w:r w:rsidRPr="00CE3D1E">
              <w:t>Kody PKD:</w:t>
            </w:r>
          </w:p>
          <w:p w:rsidR="00524089" w:rsidRPr="00CE3D1E" w:rsidRDefault="000734BA" w:rsidP="00F24A1D">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F24A1D">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F24A1D">
            <w:pPr>
              <w:pStyle w:val="Akapitzlist"/>
              <w:spacing w:afterLines="40"/>
              <w:jc w:val="both"/>
            </w:pPr>
            <w:r w:rsidRPr="00CE3D1E">
              <w:t>Kody PKD:</w:t>
            </w:r>
          </w:p>
          <w:p w:rsidR="000734BA" w:rsidRPr="000734BA" w:rsidRDefault="000734BA" w:rsidP="00F24A1D">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F24A1D">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w:t>
            </w:r>
            <w:r>
              <w:lastRenderedPageBreak/>
              <w:t>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F24A1D">
            <w:pPr>
              <w:spacing w:afterLines="40"/>
              <w:jc w:val="both"/>
            </w:pPr>
            <w:r>
              <w:t>W ramach Przedsięwzięcia jak i całego LSR nie będą wspierane działalności wyklu</w:t>
            </w:r>
            <w:r w:rsidR="00515A55">
              <w:t>czone wskazane w </w:t>
            </w:r>
            <w:r>
              <w:t xml:space="preserve">rozporządzeniu wykonawczym do </w:t>
            </w:r>
            <w:proofErr w:type="spellStart"/>
            <w:r>
              <w:t>poddziałania</w:t>
            </w:r>
            <w:proofErr w:type="spellEnd"/>
            <w:r>
              <w:t xml:space="preserve"> 19.2 PROW na lata 2014-2020.</w:t>
            </w:r>
          </w:p>
          <w:p w:rsidR="006818DD" w:rsidRDefault="00D531F6" w:rsidP="00F24A1D">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F24A1D">
            <w:pPr>
              <w:spacing w:afterLines="40"/>
              <w:jc w:val="both"/>
            </w:pPr>
            <w:r w:rsidRPr="001452BD">
              <w:rPr>
                <w:b/>
              </w:rPr>
              <w:t>Grupy docelowe przedsięwzięcia - Beneficjenci:</w:t>
            </w:r>
            <w:r>
              <w:t xml:space="preserve"> mieszkańcy obszaru LSR ze szczególnym uwzględnieniem przedstawicieli grup </w:t>
            </w:r>
            <w:proofErr w:type="spellStart"/>
            <w:r>
              <w:t>defaworyzowanych</w:t>
            </w:r>
            <w:proofErr w:type="spellEnd"/>
            <w:r>
              <w:t xml:space="preserve"> ze względu na dostęp do rynku pracy planujący podjąć działalność gospodarczą.</w:t>
            </w:r>
          </w:p>
          <w:p w:rsidR="00DA7D00" w:rsidRDefault="00DA7D00" w:rsidP="00F24A1D">
            <w:pPr>
              <w:spacing w:afterLines="40"/>
              <w:jc w:val="both"/>
            </w:pPr>
            <w:r w:rsidRPr="001452BD">
              <w:rPr>
                <w:b/>
              </w:rPr>
              <w:t>Kwota wsparcia:</w:t>
            </w:r>
            <w:r>
              <w:t xml:space="preserve"> premia w wysokości 50 tys. zł (100% wartości operacji)</w:t>
            </w:r>
          </w:p>
          <w:p w:rsidR="00DA7D00" w:rsidRDefault="00DA7D00" w:rsidP="00F24A1D">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F24A1D">
            <w:pPr>
              <w:spacing w:afterLines="40"/>
              <w:jc w:val="both"/>
            </w:pPr>
            <w:r>
              <w:t>Z uwagi na konieczność zachowania zgodności z zapisami rozporządzeni</w:t>
            </w:r>
            <w:r w:rsidR="00980838">
              <w:t xml:space="preserve">a wykonawczego dla </w:t>
            </w:r>
            <w:proofErr w:type="spellStart"/>
            <w:r w:rsidR="00980838">
              <w:t>poddziałania</w:t>
            </w:r>
            <w:proofErr w:type="spellEnd"/>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F24A1D">
            <w:pPr>
              <w:spacing w:afterLines="40"/>
              <w:jc w:val="both"/>
            </w:pPr>
            <w:r w:rsidRPr="001452BD">
              <w:rPr>
                <w:b/>
              </w:rPr>
              <w:t>Tryb wyboru projektów przez LGD</w:t>
            </w:r>
            <w:r>
              <w:t>: tryb konkursowy.</w:t>
            </w:r>
          </w:p>
        </w:tc>
      </w:tr>
    </w:tbl>
    <w:p w:rsidR="004603E5" w:rsidRPr="006E7FC7" w:rsidRDefault="004603E5" w:rsidP="00F24A1D">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 xml:space="preserve">niż 70% kosztów </w:t>
            </w:r>
            <w:proofErr w:type="spellStart"/>
            <w:r w:rsidRPr="00A71D34">
              <w:t>kwalifikowalnych</w:t>
            </w:r>
            <w:proofErr w:type="spellEnd"/>
            <w:r w:rsidRPr="00A71D34">
              <w:t xml:space="preserve">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F24A1D">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F24A1D">
            <w:pPr>
              <w:pStyle w:val="Akapitzlist"/>
              <w:numPr>
                <w:ilvl w:val="0"/>
                <w:numId w:val="96"/>
              </w:numPr>
              <w:spacing w:afterLines="40"/>
              <w:jc w:val="both"/>
            </w:pPr>
            <w:r w:rsidRPr="00A06F27">
              <w:rPr>
                <w:b/>
              </w:rPr>
              <w:t>usługi związane z branżą turystyczną/</w:t>
            </w:r>
            <w:proofErr w:type="spellStart"/>
            <w:r w:rsidRPr="00A06F27">
              <w:rPr>
                <w:b/>
              </w:rPr>
              <w:t>okołoturystyczną</w:t>
            </w:r>
            <w:proofErr w:type="spellEnd"/>
            <w:r w:rsidRPr="004D27B4">
              <w:t xml:space="preserve"> (noclegi, gastronomia, rekreacja)</w:t>
            </w:r>
          </w:p>
          <w:p w:rsidR="00A06F27" w:rsidRDefault="00A06F27" w:rsidP="00F24A1D">
            <w:pPr>
              <w:pStyle w:val="Akapitzlist"/>
              <w:spacing w:afterLines="40"/>
              <w:jc w:val="both"/>
            </w:pPr>
            <w:r>
              <w:t>Kody PKD:</w:t>
            </w:r>
          </w:p>
          <w:p w:rsidR="00A06F27" w:rsidRPr="00A06F27" w:rsidRDefault="00A06F27" w:rsidP="00F24A1D">
            <w:pPr>
              <w:pStyle w:val="Akapitzlist"/>
              <w:spacing w:afterLines="40"/>
              <w:jc w:val="both"/>
              <w:rPr>
                <w:i/>
              </w:rPr>
            </w:pPr>
            <w:r w:rsidRPr="00A06F27">
              <w:rPr>
                <w:i/>
              </w:rPr>
              <w:t>55.10.Z Hotele i podobne obiekty zakwaterowania</w:t>
            </w:r>
          </w:p>
          <w:p w:rsidR="00A06F27" w:rsidRPr="00A06F27" w:rsidRDefault="00A06F27" w:rsidP="00F24A1D">
            <w:pPr>
              <w:pStyle w:val="Akapitzlist"/>
              <w:spacing w:afterLines="40"/>
              <w:jc w:val="both"/>
              <w:rPr>
                <w:i/>
              </w:rPr>
            </w:pPr>
            <w:r w:rsidRPr="00A06F27">
              <w:rPr>
                <w:i/>
              </w:rPr>
              <w:t>55.20.Z Obiekty noclegowe turystyczne i miejsca krótkotrwałego zakwaterowania</w:t>
            </w:r>
          </w:p>
          <w:p w:rsidR="00A06F27" w:rsidRPr="00A06F27" w:rsidRDefault="00A06F27" w:rsidP="00F24A1D">
            <w:pPr>
              <w:pStyle w:val="Akapitzlist"/>
              <w:spacing w:afterLines="40"/>
              <w:jc w:val="both"/>
              <w:rPr>
                <w:i/>
              </w:rPr>
            </w:pPr>
            <w:r w:rsidRPr="00A06F27">
              <w:rPr>
                <w:i/>
              </w:rPr>
              <w:t>55.30.Z Pola kempingowe (włączając pola dla pojazdów kempingowych) i pola namiotowe</w:t>
            </w:r>
          </w:p>
          <w:p w:rsidR="00A06F27" w:rsidRPr="00A06F27" w:rsidRDefault="00A06F27" w:rsidP="00F24A1D">
            <w:pPr>
              <w:pStyle w:val="Akapitzlist"/>
              <w:spacing w:afterLines="40"/>
              <w:jc w:val="both"/>
              <w:rPr>
                <w:i/>
              </w:rPr>
            </w:pPr>
            <w:r w:rsidRPr="00A06F27">
              <w:rPr>
                <w:i/>
              </w:rPr>
              <w:t>55.90.Z Pozostałe zakwaterowanie</w:t>
            </w:r>
          </w:p>
          <w:p w:rsidR="00A06F27" w:rsidRPr="00CE3D1E" w:rsidRDefault="00A06F27" w:rsidP="00F24A1D">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F24A1D">
            <w:pPr>
              <w:pStyle w:val="Akapitzlist"/>
              <w:spacing w:afterLines="40"/>
              <w:jc w:val="both"/>
              <w:rPr>
                <w:i/>
              </w:rPr>
            </w:pPr>
            <w:r w:rsidRPr="00CE3D1E">
              <w:rPr>
                <w:i/>
              </w:rPr>
              <w:t>56.10.B Ruchome placówki gastronomiczne</w:t>
            </w:r>
          </w:p>
          <w:p w:rsidR="00A06F27" w:rsidRPr="00CE3D1E" w:rsidRDefault="00A06F27" w:rsidP="00F24A1D">
            <w:pPr>
              <w:pStyle w:val="Akapitzlist"/>
              <w:spacing w:afterLines="40"/>
              <w:jc w:val="both"/>
              <w:rPr>
                <w:i/>
              </w:rPr>
            </w:pPr>
            <w:r w:rsidRPr="00CE3D1E">
              <w:rPr>
                <w:i/>
              </w:rPr>
              <w:t>56.29.Z Pozostała usługowa działalność gastronomiczna</w:t>
            </w:r>
          </w:p>
          <w:p w:rsidR="00051CE2" w:rsidRPr="00CE3D1E" w:rsidRDefault="00051CE2" w:rsidP="00F24A1D">
            <w:pPr>
              <w:pStyle w:val="Akapitzlist"/>
              <w:spacing w:afterLines="40"/>
              <w:jc w:val="both"/>
              <w:rPr>
                <w:i/>
              </w:rPr>
            </w:pPr>
            <w:r w:rsidRPr="00CE3D1E">
              <w:rPr>
                <w:i/>
              </w:rPr>
              <w:t>56.30.Z Przygotowywanie i podawanie napojów</w:t>
            </w:r>
          </w:p>
          <w:p w:rsidR="00051CE2" w:rsidRPr="00CE3D1E" w:rsidRDefault="00051CE2" w:rsidP="00F24A1D">
            <w:pPr>
              <w:pStyle w:val="Akapitzlist"/>
              <w:spacing w:afterLines="40"/>
              <w:jc w:val="both"/>
              <w:rPr>
                <w:i/>
              </w:rPr>
            </w:pPr>
            <w:r w:rsidRPr="00CE3D1E">
              <w:rPr>
                <w:i/>
              </w:rPr>
              <w:t>79.11.A Działalność agentów turystycznych</w:t>
            </w:r>
          </w:p>
          <w:p w:rsidR="00051CE2" w:rsidRPr="00CE3D1E" w:rsidRDefault="00051CE2" w:rsidP="00F24A1D">
            <w:pPr>
              <w:pStyle w:val="Akapitzlist"/>
              <w:spacing w:afterLines="40"/>
              <w:jc w:val="both"/>
              <w:rPr>
                <w:i/>
              </w:rPr>
            </w:pPr>
            <w:r w:rsidRPr="00CE3D1E">
              <w:rPr>
                <w:i/>
              </w:rPr>
              <w:t>79.11.B Działalność pośredników turystycznych</w:t>
            </w:r>
          </w:p>
          <w:p w:rsidR="00051CE2" w:rsidRPr="00CE3D1E" w:rsidRDefault="00051CE2" w:rsidP="00F24A1D">
            <w:pPr>
              <w:pStyle w:val="Akapitzlist"/>
              <w:spacing w:afterLines="40"/>
              <w:jc w:val="both"/>
              <w:rPr>
                <w:i/>
              </w:rPr>
            </w:pPr>
            <w:r w:rsidRPr="00CE3D1E">
              <w:rPr>
                <w:i/>
              </w:rPr>
              <w:lastRenderedPageBreak/>
              <w:t>79.12.Z Działalność organizatorów turystyki</w:t>
            </w:r>
          </w:p>
          <w:p w:rsidR="00051CE2" w:rsidRPr="00CE3D1E" w:rsidRDefault="00051CE2" w:rsidP="00F24A1D">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051CE2" w:rsidRPr="00CE3D1E" w:rsidRDefault="00051CE2" w:rsidP="00F24A1D">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F24A1D">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F24A1D">
            <w:pPr>
              <w:pStyle w:val="Akapitzlist"/>
              <w:spacing w:afterLines="40"/>
              <w:jc w:val="both"/>
              <w:rPr>
                <w:i/>
              </w:rPr>
            </w:pPr>
            <w:r w:rsidRPr="00CE3D1E">
              <w:rPr>
                <w:i/>
              </w:rPr>
              <w:t>93.11.Z Działalność obiektów sportowych</w:t>
            </w:r>
          </w:p>
          <w:p w:rsidR="00051CE2" w:rsidRPr="00CE3D1E" w:rsidRDefault="00051CE2" w:rsidP="00F24A1D">
            <w:pPr>
              <w:pStyle w:val="Akapitzlist"/>
              <w:spacing w:afterLines="40"/>
              <w:jc w:val="both"/>
              <w:rPr>
                <w:i/>
              </w:rPr>
            </w:pPr>
            <w:r w:rsidRPr="00CE3D1E">
              <w:rPr>
                <w:i/>
              </w:rPr>
              <w:t>93.19.Z Pozostała działalność związana ze sportem</w:t>
            </w:r>
          </w:p>
          <w:p w:rsidR="00051CE2" w:rsidRPr="00CE3D1E" w:rsidRDefault="00051CE2" w:rsidP="00F24A1D">
            <w:pPr>
              <w:pStyle w:val="Akapitzlist"/>
              <w:spacing w:afterLines="40"/>
              <w:jc w:val="both"/>
              <w:rPr>
                <w:i/>
              </w:rPr>
            </w:pPr>
            <w:r w:rsidRPr="00CE3D1E">
              <w:rPr>
                <w:i/>
              </w:rPr>
              <w:t>93.21.Z Działalność wesołych miasteczek i parków rozrywki</w:t>
            </w:r>
          </w:p>
          <w:p w:rsidR="00051CE2" w:rsidRPr="00CE3D1E" w:rsidRDefault="00051CE2" w:rsidP="00F24A1D">
            <w:pPr>
              <w:pStyle w:val="Akapitzlist"/>
              <w:spacing w:afterLines="40"/>
              <w:jc w:val="both"/>
              <w:rPr>
                <w:i/>
              </w:rPr>
            </w:pPr>
            <w:r w:rsidRPr="00CE3D1E">
              <w:rPr>
                <w:i/>
              </w:rPr>
              <w:t>93.29.Z Pozostała działalność rozrywkowa i rekreacyjna</w:t>
            </w:r>
          </w:p>
          <w:p w:rsidR="00A06F27" w:rsidRPr="00CE3D1E" w:rsidRDefault="00A06F27" w:rsidP="00F24A1D">
            <w:pPr>
              <w:pStyle w:val="Akapitzlist"/>
              <w:numPr>
                <w:ilvl w:val="0"/>
                <w:numId w:val="96"/>
              </w:numPr>
              <w:spacing w:afterLines="40"/>
              <w:jc w:val="both"/>
              <w:rPr>
                <w:b/>
              </w:rPr>
            </w:pPr>
            <w:r w:rsidRPr="00CE3D1E">
              <w:rPr>
                <w:b/>
              </w:rPr>
              <w:t>usługi opiekuńcze/edukacyjne nad dziećmi</w:t>
            </w:r>
          </w:p>
          <w:p w:rsidR="00A06F27" w:rsidRPr="00CE3D1E" w:rsidRDefault="00A06F27" w:rsidP="00F24A1D">
            <w:pPr>
              <w:pStyle w:val="Akapitzlist"/>
              <w:spacing w:afterLines="40"/>
              <w:jc w:val="both"/>
            </w:pPr>
            <w:r w:rsidRPr="00CE3D1E">
              <w:t>Kody PKD:</w:t>
            </w:r>
          </w:p>
          <w:p w:rsidR="00A06F27" w:rsidRPr="00CE3D1E" w:rsidRDefault="00A06F27" w:rsidP="00F24A1D">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F24A1D">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F24A1D">
            <w:pPr>
              <w:pStyle w:val="Akapitzlist"/>
              <w:spacing w:afterLines="40"/>
              <w:jc w:val="both"/>
            </w:pPr>
            <w:r w:rsidRPr="00CE3D1E">
              <w:t>Kody PKD:</w:t>
            </w:r>
          </w:p>
          <w:p w:rsidR="006D65A4" w:rsidRPr="004D27B4" w:rsidRDefault="00A06F27" w:rsidP="00F24A1D">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 xml:space="preserve">rozporządzeniu wykonawczym do </w:t>
            </w:r>
            <w:proofErr w:type="spellStart"/>
            <w:r>
              <w:t>poddziałania</w:t>
            </w:r>
            <w:proofErr w:type="spellEnd"/>
            <w:r>
              <w:t xml:space="preserve"> 19.2 PROW na lata 2014-2020.</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 xml:space="preserve">dofinansowania nie wyższy niż 70% kosztów </w:t>
            </w:r>
            <w:proofErr w:type="spellStart"/>
            <w:r w:rsidRPr="00260919">
              <w:t>kwalifikowalnych</w:t>
            </w:r>
            <w:proofErr w:type="spellEnd"/>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w:t>
            </w:r>
            <w:proofErr w:type="spellStart"/>
            <w:r>
              <w:t>poddziałania</w:t>
            </w:r>
            <w:proofErr w:type="spellEnd"/>
            <w:r>
              <w:t xml:space="preserve">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xml:space="preserve">, niż wymagany minimalny poziom 30% kosztów </w:t>
            </w:r>
            <w:proofErr w:type="spellStart"/>
            <w:r>
              <w:t>kwalifikowalnych</w:t>
            </w:r>
            <w:proofErr w:type="spellEnd"/>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F24A1D">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lastRenderedPageBreak/>
              <w:t xml:space="preserve">usługi  </w:t>
            </w:r>
            <w:r w:rsidR="00DA7D00">
              <w:t>doradztwa księgowo-rachunkowe</w:t>
            </w:r>
            <w:r w:rsidR="00FC0917">
              <w:t>go</w:t>
            </w:r>
          </w:p>
          <w:p w:rsidR="00DA7D00" w:rsidRDefault="000F3E4B" w:rsidP="007F794D">
            <w:pPr>
              <w:pStyle w:val="Akapitzlist"/>
              <w:numPr>
                <w:ilvl w:val="0"/>
                <w:numId w:val="58"/>
              </w:numPr>
            </w:pPr>
            <w:r>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 xml:space="preserve">mikro i małe przedsiębiorstwa oraz mieszkańcy obszaru LSR w szczególności grupy </w:t>
            </w:r>
            <w:proofErr w:type="spellStart"/>
            <w:r w:rsidR="00FF1A38" w:rsidRPr="00F076AD">
              <w:t>defaworyzowane</w:t>
            </w:r>
            <w:proofErr w:type="spellEnd"/>
            <w:r w:rsidR="00FF1A38" w:rsidRPr="00F076AD">
              <w:t xml:space="preserv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 xml:space="preserve">kosztów </w:t>
            </w:r>
            <w:proofErr w:type="spellStart"/>
            <w:r w:rsidRPr="00260919">
              <w:t>kwalifikowalnych</w:t>
            </w:r>
            <w:proofErr w:type="spellEnd"/>
            <w:r w:rsidRPr="00260919">
              <w:t xml:space="preserve">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proofErr w:type="spellStart"/>
            <w:r w:rsidRPr="00744139">
              <w:rPr>
                <w:i/>
              </w:rPr>
              <w:t>minimis</w:t>
            </w:r>
            <w:proofErr w:type="spellEnd"/>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w:t>
            </w:r>
            <w:proofErr w:type="spellStart"/>
            <w:r w:rsidR="00515A55">
              <w:rPr>
                <w:i/>
              </w:rPr>
              <w:t>minimis</w:t>
            </w:r>
            <w:proofErr w:type="spellEnd"/>
            <w:r w:rsidR="00515A55">
              <w:rPr>
                <w:i/>
              </w:rPr>
              <w:t xml:space="preserve"> w </w:t>
            </w:r>
            <w:r w:rsidRPr="00744139">
              <w:rPr>
                <w:i/>
              </w:rPr>
              <w:t>ramach regionalnych programów operacyjnych na lata 2014-2020</w:t>
            </w:r>
            <w:r>
              <w:t xml:space="preserve"> (</w:t>
            </w:r>
            <w:proofErr w:type="spellStart"/>
            <w:r>
              <w:t>Dz.U</w:t>
            </w:r>
            <w:proofErr w:type="spellEnd"/>
            <w:r>
              <w:t>. poz. 488).</w:t>
            </w:r>
          </w:p>
          <w:p w:rsidR="00DA7D00" w:rsidRDefault="00DA7D00" w:rsidP="00632CEB">
            <w:pPr>
              <w:jc w:val="both"/>
            </w:pPr>
            <w:r w:rsidRPr="001452BD">
              <w:rPr>
                <w:b/>
              </w:rPr>
              <w:t>Tryb wyboru projektów przez LGD</w:t>
            </w:r>
            <w:r>
              <w:t>: projekt konkursowy.</w:t>
            </w:r>
          </w:p>
        </w:tc>
      </w:tr>
    </w:tbl>
    <w:p w:rsidR="00396BCC" w:rsidRDefault="00396BCC" w:rsidP="00F24A1D">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 xml:space="preserve">(w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kluby młodzieżowe (w tym z programem rówieśniczym obejmujące m.in.: rówieśnicze doradztwo, edukację, liderowanie, </w:t>
            </w:r>
            <w:proofErr w:type="spellStart"/>
            <w:r w:rsidRPr="00426DFA">
              <w:t>coaching</w:t>
            </w:r>
            <w:proofErr w:type="spellEnd"/>
            <w:r w:rsidRPr="00426DFA">
              <w:t xml:space="preserve"> rówieśniczy)</w:t>
            </w:r>
          </w:p>
          <w:p w:rsidR="00B15953" w:rsidRPr="00426DFA" w:rsidRDefault="00B15953" w:rsidP="00246ECC">
            <w:pPr>
              <w:pStyle w:val="Akapitzlist"/>
              <w:numPr>
                <w:ilvl w:val="0"/>
                <w:numId w:val="61"/>
              </w:numPr>
              <w:ind w:left="709"/>
              <w:jc w:val="both"/>
            </w:pPr>
            <w:r w:rsidRPr="00426DFA">
              <w:t xml:space="preserve">aktywizacja społeczno-zawodowa (w tym szkolenia podnoszące kompetencje i/lub dające nowe </w:t>
            </w:r>
            <w:r w:rsidRPr="00426DFA">
              <w:lastRenderedPageBreak/>
              <w:t>umiejętności zawodowe i społeczne)</w:t>
            </w:r>
          </w:p>
          <w:p w:rsidR="00B15953" w:rsidRPr="00426DFA" w:rsidRDefault="00B15953" w:rsidP="00246ECC">
            <w:pPr>
              <w:pStyle w:val="Akapitzlist"/>
              <w:numPr>
                <w:ilvl w:val="0"/>
                <w:numId w:val="60"/>
              </w:numPr>
              <w:jc w:val="both"/>
            </w:pPr>
            <w:r w:rsidRPr="00426DFA">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 xml:space="preserve">Preferowane będą operacje uwzględniające działania promocyjne, tj. informacje o dofinansowaniu operacji ze środków LSR (np. tablica informacyjna, ogłoszenie w prasie, informacja na stronie </w:t>
            </w:r>
            <w:proofErr w:type="spellStart"/>
            <w:r w:rsidRPr="00426DFA">
              <w:t>www</w:t>
            </w:r>
            <w:proofErr w:type="spellEnd"/>
            <w:r w:rsidRPr="00426DFA">
              <w:t>).</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 xml:space="preserve">5% kosztów </w:t>
            </w:r>
            <w:proofErr w:type="spellStart"/>
            <w:r w:rsidRPr="00426DFA">
              <w:t>kwalifikowalnych</w:t>
            </w:r>
            <w:proofErr w:type="spellEnd"/>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F24A1D">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F24A1D">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F24A1D">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F24A1D">
            <w:pPr>
              <w:spacing w:afterLines="40"/>
              <w:jc w:val="both"/>
              <w:rPr>
                <w:b/>
              </w:rPr>
            </w:pPr>
            <w:r w:rsidRPr="00B137C3">
              <w:rPr>
                <w:b/>
              </w:rPr>
              <w:t>Uzasadnienie wyboru przedsięwzięcia oraz sposób realizacji:</w:t>
            </w:r>
          </w:p>
          <w:p w:rsidR="00DA7D00" w:rsidRPr="00B137C3" w:rsidRDefault="00DA7D00" w:rsidP="00F24A1D">
            <w:pPr>
              <w:spacing w:afterLines="40"/>
              <w:jc w:val="both"/>
            </w:pPr>
            <w:r w:rsidRPr="00B137C3">
              <w:t xml:space="preserve">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w:t>
            </w:r>
            <w:proofErr w:type="spellStart"/>
            <w:r w:rsidRPr="00B137C3">
              <w:t>defaworyzowanych</w:t>
            </w:r>
            <w:proofErr w:type="spellEnd"/>
            <w:r w:rsidRPr="00B137C3">
              <w:t>.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xml:space="preserve">). Działania aktywizacyjne, oprócz osób zagrożonych ubóstwem i wykluczeniem społecznym oraz przedstawicieli grup </w:t>
            </w:r>
            <w:proofErr w:type="spellStart"/>
            <w:r w:rsidRPr="00B137C3">
              <w:t>defaworyzowanych</w:t>
            </w:r>
            <w:proofErr w:type="spellEnd"/>
            <w:r w:rsidRPr="00B137C3">
              <w:t>,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F24A1D">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F24A1D">
            <w:pPr>
              <w:spacing w:afterLines="40"/>
              <w:jc w:val="both"/>
            </w:pPr>
            <w:r w:rsidRPr="00B137C3">
              <w:t>Przedsięwzięcie będzie realizowane przez LGD w ramach środków Funduszu wiodącego, jako koszty funkcjonowania i aktywizacji.</w:t>
            </w:r>
          </w:p>
          <w:p w:rsidR="00DA7D00" w:rsidRDefault="00DA7D00" w:rsidP="00F24A1D">
            <w:pPr>
              <w:spacing w:afterLines="40"/>
              <w:jc w:val="both"/>
            </w:pPr>
            <w:r w:rsidRPr="00B137C3">
              <w:rPr>
                <w:b/>
              </w:rPr>
              <w:t>Grupy docelowe przedsięwzięcia - Beneficjenci</w:t>
            </w:r>
            <w:r w:rsidRPr="001452BD">
              <w:rPr>
                <w:b/>
              </w:rPr>
              <w:t>:</w:t>
            </w:r>
            <w:r>
              <w:t xml:space="preserve"> wszyscy mieszkańcy i podmioty obszaru LGD, w tym przedstawiciele grup </w:t>
            </w:r>
            <w:proofErr w:type="spellStart"/>
            <w:r>
              <w:t>defaworyzowanych</w:t>
            </w:r>
            <w:proofErr w:type="spellEnd"/>
            <w:r>
              <w:t>, osoby zagrożone ubóstwem i wykluczeniem społecznym</w:t>
            </w:r>
            <w:r w:rsidR="00B137C3">
              <w:t>.</w:t>
            </w:r>
          </w:p>
        </w:tc>
      </w:tr>
    </w:tbl>
    <w:p w:rsidR="00DA7D00" w:rsidRPr="00AC3341" w:rsidRDefault="00DA7D00" w:rsidP="00F24A1D">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F24A1D">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F24A1D">
            <w:pPr>
              <w:spacing w:afterLines="40"/>
              <w:jc w:val="both"/>
              <w:rPr>
                <w:b/>
              </w:rPr>
            </w:pPr>
            <w:r w:rsidRPr="001452BD">
              <w:rPr>
                <w:b/>
              </w:rPr>
              <w:t xml:space="preserve">Źródło finansowania: </w:t>
            </w:r>
          </w:p>
          <w:p w:rsidR="00DA7D00" w:rsidRDefault="00DA7D00" w:rsidP="00F24A1D">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F24A1D">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F24A1D">
            <w:pPr>
              <w:spacing w:afterLines="40"/>
              <w:jc w:val="both"/>
              <w:rPr>
                <w:b/>
              </w:rPr>
            </w:pPr>
            <w:r w:rsidRPr="001452BD">
              <w:rPr>
                <w:b/>
              </w:rPr>
              <w:t>Uzasadnienie wyboru przedsięwzięcia oraz sposób realizacji:</w:t>
            </w:r>
          </w:p>
          <w:p w:rsidR="008C6237" w:rsidRDefault="008C6237" w:rsidP="00F24A1D">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 xml:space="preserve">brak odpowiedniego zagospodarowania otoczenia większości świetlic wiejskich oraz innych </w:t>
            </w:r>
            <w:r>
              <w:lastRenderedPageBreak/>
              <w:t>obiektów pełniących centrum społeczno-kulturalne miejscowości wiejskich</w:t>
            </w:r>
            <w:r w:rsidRPr="00BD386A">
              <w:t xml:space="preserve">. Brak </w:t>
            </w:r>
            <w:r>
              <w:t xml:space="preserve">odpowiednio </w:t>
            </w:r>
            <w:r w:rsidRPr="00BD386A">
              <w:t xml:space="preserve">rozbudowanej 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F24A1D">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F24A1D">
            <w:pPr>
              <w:spacing w:afterLines="40"/>
              <w:jc w:val="both"/>
            </w:pPr>
            <w:r w:rsidRPr="00BD386A">
              <w:t>Lista rekomendowanych operacji:</w:t>
            </w:r>
          </w:p>
          <w:p w:rsidR="008C6237" w:rsidRPr="00BD386A" w:rsidRDefault="008C6237" w:rsidP="00F24A1D">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F24A1D">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F24A1D">
            <w:pPr>
              <w:pStyle w:val="Akapitzlist"/>
              <w:numPr>
                <w:ilvl w:val="0"/>
                <w:numId w:val="62"/>
              </w:numPr>
              <w:spacing w:afterLines="40"/>
              <w:jc w:val="both"/>
            </w:pPr>
            <w:r w:rsidRPr="00BD386A">
              <w:t xml:space="preserve">budowa lub przebudowa infrastruktury rekreacyjnej towarzyszącej, m.in.: siłownie zewnętrzne, place zabaw, </w:t>
            </w:r>
            <w:proofErr w:type="spellStart"/>
            <w:r w:rsidRPr="00BD386A">
              <w:t>miniboiska</w:t>
            </w:r>
            <w:proofErr w:type="spellEnd"/>
            <w:r w:rsidRPr="00BD386A">
              <w:t xml:space="preserve"> do gier zespołowych, ścieżki rowerowe, ciągi pieszo-rowerowe,</w:t>
            </w:r>
          </w:p>
          <w:p w:rsidR="008C6237" w:rsidRDefault="008C6237" w:rsidP="00F24A1D">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F24A1D">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F24A1D">
            <w:pPr>
              <w:spacing w:afterLines="40"/>
              <w:jc w:val="both"/>
            </w:pPr>
            <w:r w:rsidRPr="004D27B4">
              <w:t>Zgodnie z wynikami diagnozy i oczekiwaniami mieszkańców LGD będzie premiować budowę ścieżek rowerowych.</w:t>
            </w:r>
          </w:p>
          <w:p w:rsidR="008C6237" w:rsidRDefault="008C6237" w:rsidP="00F24A1D">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F24A1D">
            <w:pPr>
              <w:spacing w:afterLines="40"/>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8C6237" w:rsidRPr="00BD386A" w:rsidRDefault="008C6237" w:rsidP="00F24A1D">
            <w:pPr>
              <w:spacing w:afterLines="40"/>
              <w:jc w:val="both"/>
            </w:pPr>
            <w:r w:rsidRPr="00BD386A">
              <w:rPr>
                <w:b/>
              </w:rPr>
              <w:t>Grupy docelowe:</w:t>
            </w:r>
            <w:r w:rsidRPr="00BD386A">
              <w:t xml:space="preserve"> mieszkańcy obszaru LSR, turyści</w:t>
            </w:r>
          </w:p>
          <w:p w:rsidR="008C6237" w:rsidRPr="00BD386A" w:rsidRDefault="008C6237" w:rsidP="00F24A1D">
            <w:pPr>
              <w:spacing w:afterLines="40"/>
              <w:jc w:val="both"/>
              <w:rPr>
                <w:b/>
              </w:rPr>
            </w:pPr>
            <w:r w:rsidRPr="00BD386A">
              <w:rPr>
                <w:b/>
              </w:rPr>
              <w:t>Beneficjenci - wnioskodawcy:</w:t>
            </w:r>
          </w:p>
          <w:p w:rsidR="008C6237" w:rsidRPr="00BD386A" w:rsidRDefault="008C6237" w:rsidP="00F24A1D">
            <w:pPr>
              <w:pStyle w:val="Akapitzlist"/>
              <w:numPr>
                <w:ilvl w:val="0"/>
                <w:numId w:val="63"/>
              </w:numPr>
              <w:spacing w:afterLines="40"/>
              <w:jc w:val="both"/>
            </w:pPr>
            <w:r w:rsidRPr="00BD386A">
              <w:t>jednostki samorządu terytorialnego</w:t>
            </w:r>
          </w:p>
          <w:p w:rsidR="008C6237" w:rsidRPr="00BD386A" w:rsidRDefault="008C6237" w:rsidP="00F24A1D">
            <w:pPr>
              <w:pStyle w:val="Akapitzlist"/>
              <w:numPr>
                <w:ilvl w:val="0"/>
                <w:numId w:val="63"/>
              </w:numPr>
              <w:spacing w:afterLines="40"/>
              <w:jc w:val="both"/>
            </w:pPr>
            <w:r w:rsidRPr="00BD386A">
              <w:t>samorządowe jednostki organizacyjne</w:t>
            </w:r>
          </w:p>
          <w:p w:rsidR="008C6237" w:rsidRPr="00BD386A" w:rsidRDefault="008C6237" w:rsidP="00F24A1D">
            <w:pPr>
              <w:pStyle w:val="Akapitzlist"/>
              <w:numPr>
                <w:ilvl w:val="0"/>
                <w:numId w:val="63"/>
              </w:numPr>
              <w:spacing w:afterLines="40"/>
              <w:jc w:val="both"/>
            </w:pPr>
            <w:r w:rsidRPr="00BD386A">
              <w:t>organizacje pozarządowe</w:t>
            </w:r>
          </w:p>
          <w:p w:rsidR="008C6237" w:rsidRPr="00BD386A" w:rsidRDefault="008C6237" w:rsidP="00F24A1D">
            <w:pPr>
              <w:spacing w:afterLines="40"/>
              <w:jc w:val="both"/>
            </w:pPr>
            <w:r w:rsidRPr="00BD386A">
              <w:rPr>
                <w:b/>
              </w:rPr>
              <w:t>Kwota i forma wsparcia</w:t>
            </w:r>
          </w:p>
          <w:p w:rsidR="008C6237" w:rsidRPr="00BD386A" w:rsidRDefault="008C6237" w:rsidP="00F24A1D">
            <w:pPr>
              <w:spacing w:afterLines="40"/>
              <w:jc w:val="both"/>
            </w:pPr>
            <w:r w:rsidRPr="00BD386A">
              <w:t>Maksymalny poziom dofinansowania:</w:t>
            </w:r>
          </w:p>
          <w:p w:rsidR="008C6237" w:rsidRPr="00BD386A" w:rsidRDefault="008C6237" w:rsidP="00F24A1D">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 xml:space="preserve">63,63% kosztów </w:t>
            </w:r>
            <w:proofErr w:type="spellStart"/>
            <w:r w:rsidRPr="00BD386A">
              <w:t>kwalifikowalnych</w:t>
            </w:r>
            <w:proofErr w:type="spellEnd"/>
          </w:p>
          <w:p w:rsidR="008C6237" w:rsidRPr="00BD386A" w:rsidRDefault="008C6237" w:rsidP="00F24A1D">
            <w:pPr>
              <w:pStyle w:val="Akapitzlist"/>
              <w:numPr>
                <w:ilvl w:val="0"/>
                <w:numId w:val="64"/>
              </w:numPr>
              <w:spacing w:afterLines="40"/>
              <w:jc w:val="both"/>
            </w:pPr>
            <w:r w:rsidRPr="00BD386A">
              <w:t>poz</w:t>
            </w:r>
            <w:r w:rsidR="008B1F2A">
              <w:t>ostałe podmioty nie wyższy niż 100</w:t>
            </w:r>
            <w:r w:rsidRPr="00BD386A">
              <w:t xml:space="preserve">% kosztów </w:t>
            </w:r>
            <w:proofErr w:type="spellStart"/>
            <w:r w:rsidRPr="00BD386A">
              <w:t>kwalifikowalnych</w:t>
            </w:r>
            <w:proofErr w:type="spellEnd"/>
          </w:p>
          <w:p w:rsidR="008C6237" w:rsidRPr="00BD386A" w:rsidRDefault="008C6237" w:rsidP="00F24A1D">
            <w:pPr>
              <w:spacing w:afterLines="40"/>
              <w:jc w:val="both"/>
            </w:pPr>
            <w:r w:rsidRPr="00BD386A">
              <w:t>Minimalna całkowita wartość operacji - 50 tys. zł</w:t>
            </w:r>
          </w:p>
          <w:p w:rsidR="00DA7D00" w:rsidRDefault="008C6237" w:rsidP="00F24A1D">
            <w:pPr>
              <w:spacing w:afterLines="40"/>
              <w:jc w:val="both"/>
            </w:pPr>
            <w:r w:rsidRPr="00BD386A">
              <w:rPr>
                <w:b/>
              </w:rPr>
              <w:t>Tryb wyboru projektów przez LGD</w:t>
            </w:r>
            <w:r w:rsidRPr="00BD386A">
              <w:t>: tryb konkursowy.</w:t>
            </w:r>
          </w:p>
        </w:tc>
      </w:tr>
    </w:tbl>
    <w:p w:rsidR="00DA7D00" w:rsidRPr="00AC3341" w:rsidRDefault="00DA7D00" w:rsidP="00F24A1D">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F24A1D">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F24A1D">
            <w:pPr>
              <w:spacing w:afterLines="40"/>
              <w:jc w:val="both"/>
              <w:rPr>
                <w:b/>
              </w:rPr>
            </w:pPr>
            <w:r w:rsidRPr="001452BD">
              <w:rPr>
                <w:b/>
              </w:rPr>
              <w:t xml:space="preserve">Źródło finansowania: </w:t>
            </w:r>
          </w:p>
          <w:p w:rsidR="00DA7D00" w:rsidRDefault="00DA7D00" w:rsidP="00F24A1D">
            <w:pPr>
              <w:spacing w:afterLines="40"/>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F24A1D">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F24A1D">
            <w:pPr>
              <w:spacing w:afterLines="40"/>
              <w:jc w:val="both"/>
              <w:rPr>
                <w:b/>
              </w:rPr>
            </w:pPr>
            <w:r w:rsidRPr="001452BD">
              <w:rPr>
                <w:b/>
              </w:rPr>
              <w:t>Uzasadnienie wyboru przedsięwzięcia oraz sposób realizacji:</w:t>
            </w:r>
          </w:p>
          <w:p w:rsidR="00DA7D00" w:rsidRDefault="00DA7D00" w:rsidP="00F24A1D">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 xml:space="preserve">braku środków finansowych na działalność statutową </w:t>
            </w:r>
            <w:r w:rsidR="006E06C5">
              <w:lastRenderedPageBreak/>
              <w:t>lokalnych organizacji pozarządowych</w:t>
            </w:r>
            <w:r>
              <w:t>, w tym również w zakresie upowszechnienia i rozwoju kultury i ochrony i propagowania dziedzictwa lokalnego.</w:t>
            </w:r>
          </w:p>
          <w:p w:rsidR="00DA7D00" w:rsidRDefault="00DA7D00" w:rsidP="00F24A1D">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F24A1D">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F24A1D">
            <w:pPr>
              <w:pStyle w:val="Akapitzlist"/>
              <w:numPr>
                <w:ilvl w:val="0"/>
                <w:numId w:val="65"/>
              </w:numPr>
              <w:spacing w:afterLines="40"/>
              <w:jc w:val="both"/>
            </w:pPr>
            <w:r>
              <w:t>lokalne organizacje pozarządowe posiadające osobowość prawną,</w:t>
            </w:r>
          </w:p>
          <w:p w:rsidR="00DA7D00" w:rsidRPr="000A56F1" w:rsidRDefault="00DA7D00" w:rsidP="00F24A1D">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F24A1D">
            <w:pPr>
              <w:pStyle w:val="Akapitzlist"/>
              <w:numPr>
                <w:ilvl w:val="0"/>
                <w:numId w:val="65"/>
              </w:numPr>
              <w:spacing w:afterLines="40"/>
              <w:jc w:val="both"/>
            </w:pPr>
            <w:r w:rsidRPr="00BD386A">
              <w:t>jednostki samorządu terytorialnego</w:t>
            </w:r>
          </w:p>
          <w:p w:rsidR="00FD32B9" w:rsidRPr="005F163F" w:rsidRDefault="00FD32B9" w:rsidP="00F24A1D">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F24A1D">
            <w:pPr>
              <w:spacing w:afterLines="40"/>
              <w:jc w:val="both"/>
            </w:pPr>
            <w:r>
              <w:t>Lista rekomendowanych operacji:</w:t>
            </w:r>
          </w:p>
          <w:p w:rsidR="00DA7D00" w:rsidRDefault="00DA7D00" w:rsidP="00F24A1D">
            <w:pPr>
              <w:pStyle w:val="Akapitzlist"/>
              <w:numPr>
                <w:ilvl w:val="0"/>
                <w:numId w:val="62"/>
              </w:numPr>
              <w:spacing w:afterLines="40"/>
              <w:jc w:val="both"/>
            </w:pPr>
            <w:r>
              <w:t>zachowanie i promocja dziedzictwa lokalnego materialnego i niematerialnego</w:t>
            </w:r>
          </w:p>
          <w:p w:rsidR="00DA7D00" w:rsidRDefault="00DA7D00" w:rsidP="00F24A1D">
            <w:pPr>
              <w:pStyle w:val="Akapitzlist"/>
              <w:numPr>
                <w:ilvl w:val="0"/>
                <w:numId w:val="62"/>
              </w:numPr>
              <w:spacing w:afterLines="40"/>
              <w:jc w:val="both"/>
            </w:pPr>
            <w:r>
              <w:t>zachowanie obiektów zabytkowych wraz z ich otoczeniem</w:t>
            </w:r>
          </w:p>
          <w:p w:rsidR="00DA7D00" w:rsidRDefault="00DA7D00" w:rsidP="00F24A1D">
            <w:pPr>
              <w:pStyle w:val="Akapitzlist"/>
              <w:numPr>
                <w:ilvl w:val="0"/>
                <w:numId w:val="62"/>
              </w:numPr>
              <w:spacing w:afterLines="40"/>
              <w:jc w:val="both"/>
            </w:pPr>
            <w:r>
              <w:t>niestandard</w:t>
            </w:r>
            <w:r w:rsidR="00F427CB">
              <w:t xml:space="preserve">owe formy promocji dziedzictwa, </w:t>
            </w:r>
            <w:r>
              <w:t>np. w formie gier i zabaw terenowych (</w:t>
            </w:r>
            <w:proofErr w:type="spellStart"/>
            <w:r>
              <w:t>questing</w:t>
            </w:r>
            <w:proofErr w:type="spellEnd"/>
            <w:r>
              <w:t xml:space="preserve">, </w:t>
            </w:r>
            <w:proofErr w:type="spellStart"/>
            <w:r>
              <w:t>geocaching</w:t>
            </w:r>
            <w:proofErr w:type="spellEnd"/>
            <w:r>
              <w:t>, gry miej</w:t>
            </w:r>
            <w:r w:rsidR="006B1154">
              <w:t>skie) oraz w formie organizacji</w:t>
            </w:r>
            <w:r w:rsidR="00F427CB">
              <w:t xml:space="preserve"> </w:t>
            </w:r>
            <w:r>
              <w:t>i rozwoju wiosek tematycznych.</w:t>
            </w:r>
          </w:p>
          <w:p w:rsidR="00DA7D00" w:rsidRDefault="00DA7D00" w:rsidP="00F24A1D">
            <w:pPr>
              <w:spacing w:afterLines="40"/>
              <w:jc w:val="both"/>
            </w:pPr>
            <w:r>
              <w:t>Powyższa lista nie stanowi katalogu zamkniętego.</w:t>
            </w:r>
          </w:p>
          <w:p w:rsidR="00D531F6" w:rsidRDefault="00D531F6" w:rsidP="00F24A1D">
            <w:pPr>
              <w:spacing w:afterLines="40"/>
              <w:jc w:val="both"/>
              <w:rPr>
                <w:b/>
              </w:rPr>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F24A1D">
            <w:pPr>
              <w:spacing w:afterLines="40"/>
              <w:jc w:val="both"/>
            </w:pPr>
            <w:r w:rsidRPr="001452BD">
              <w:rPr>
                <w:b/>
              </w:rPr>
              <w:t>Grupy docelowe:</w:t>
            </w:r>
            <w:r>
              <w:t xml:space="preserve"> mieszkańcy obszaru LSR, turyści</w:t>
            </w:r>
          </w:p>
          <w:p w:rsidR="00DA7D00" w:rsidRPr="000A56F1" w:rsidRDefault="00DA7D00" w:rsidP="00F24A1D">
            <w:pPr>
              <w:spacing w:afterLines="40"/>
              <w:jc w:val="both"/>
            </w:pPr>
            <w:r w:rsidRPr="001452BD">
              <w:rPr>
                <w:b/>
              </w:rPr>
              <w:t xml:space="preserve">Kwota </w:t>
            </w:r>
            <w:r>
              <w:rPr>
                <w:b/>
              </w:rPr>
              <w:t xml:space="preserve">i forma </w:t>
            </w:r>
            <w:r w:rsidRPr="000A56F1">
              <w:rPr>
                <w:b/>
              </w:rPr>
              <w:t>wsparcia</w:t>
            </w:r>
          </w:p>
          <w:p w:rsidR="00292ADC" w:rsidRPr="000A56F1" w:rsidRDefault="00DA7D00" w:rsidP="00F24A1D">
            <w:pPr>
              <w:spacing w:afterLines="40"/>
              <w:jc w:val="both"/>
            </w:pPr>
            <w:r w:rsidRPr="000A56F1">
              <w:t xml:space="preserve">Maksymalny poziom dofinansowania: </w:t>
            </w:r>
          </w:p>
          <w:p w:rsidR="00292ADC" w:rsidRPr="000A56F1" w:rsidRDefault="000A56F1" w:rsidP="00F24A1D">
            <w:pPr>
              <w:pStyle w:val="Akapitzlist"/>
              <w:numPr>
                <w:ilvl w:val="0"/>
                <w:numId w:val="90"/>
              </w:numPr>
              <w:spacing w:afterLines="40"/>
              <w:jc w:val="both"/>
            </w:pPr>
            <w:r w:rsidRPr="000A56F1">
              <w:t>Jednostki sektora finansów publicznych</w:t>
            </w:r>
            <w:r w:rsidR="00292ADC" w:rsidRPr="000A56F1">
              <w:t xml:space="preserve"> </w:t>
            </w:r>
            <w:r w:rsidR="00246ECC">
              <w:t>–</w:t>
            </w:r>
            <w:r w:rsidR="00292ADC" w:rsidRPr="00527F05">
              <w:t xml:space="preserve"> </w:t>
            </w:r>
            <w:r w:rsidR="00246ECC" w:rsidRPr="00527F05">
              <w:t>do</w:t>
            </w:r>
            <w:r w:rsidR="00246ECC">
              <w:t xml:space="preserve"> </w:t>
            </w:r>
            <w:r w:rsidR="00292ADC" w:rsidRPr="000A56F1">
              <w:t>63,63%</w:t>
            </w:r>
          </w:p>
          <w:p w:rsidR="00DA7D00" w:rsidRPr="000A56F1" w:rsidRDefault="000A56F1" w:rsidP="00F24A1D">
            <w:pPr>
              <w:pStyle w:val="Akapitzlist"/>
              <w:numPr>
                <w:ilvl w:val="0"/>
                <w:numId w:val="90"/>
              </w:numPr>
              <w:spacing w:afterLines="40"/>
              <w:jc w:val="both"/>
            </w:pPr>
            <w:r w:rsidRPr="000A56F1">
              <w:t>d</w:t>
            </w:r>
            <w:r w:rsidR="00292ADC" w:rsidRPr="000A56F1">
              <w:t xml:space="preserve">la pozostałych </w:t>
            </w:r>
            <w:r w:rsidRPr="000A56F1">
              <w:t xml:space="preserve">- </w:t>
            </w:r>
            <w:r w:rsidR="00DA7D00" w:rsidRPr="000A56F1">
              <w:t xml:space="preserve">100% kosztów </w:t>
            </w:r>
            <w:proofErr w:type="spellStart"/>
            <w:r w:rsidR="00DA7D00" w:rsidRPr="000A56F1">
              <w:t>kwalifikowalnych</w:t>
            </w:r>
            <w:proofErr w:type="spellEnd"/>
          </w:p>
          <w:p w:rsidR="00292ADC" w:rsidRDefault="000A56F1" w:rsidP="00F24A1D">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527F05" w:rsidRDefault="005F163F" w:rsidP="00F24A1D">
            <w:pPr>
              <w:spacing w:afterLines="40"/>
              <w:jc w:val="both"/>
            </w:pPr>
            <w:r w:rsidRPr="00527F05">
              <w:t>1 podmiot może otrzymać wsparcie na realizację 1 grantu.</w:t>
            </w:r>
          </w:p>
          <w:p w:rsidR="00DA7D00" w:rsidRPr="000A56F1" w:rsidRDefault="006B1154" w:rsidP="00F24A1D">
            <w:pPr>
              <w:spacing w:afterLines="40"/>
              <w:jc w:val="both"/>
            </w:pPr>
            <w:r>
              <w:t>Minimalna wartość</w:t>
            </w:r>
            <w:r w:rsidR="00DA7D00" w:rsidRPr="000A56F1">
              <w:t xml:space="preserve"> </w:t>
            </w:r>
            <w:proofErr w:type="spellStart"/>
            <w:r w:rsidR="00DA7D00" w:rsidRPr="000A56F1">
              <w:t>mikrograntu</w:t>
            </w:r>
            <w:proofErr w:type="spellEnd"/>
            <w:r w:rsidR="00DA7D00" w:rsidRPr="000A56F1">
              <w:t xml:space="preserve"> - 5 tys. zł</w:t>
            </w:r>
          </w:p>
          <w:p w:rsidR="00DA7D00" w:rsidRDefault="00DA7D00" w:rsidP="00F24A1D">
            <w:pPr>
              <w:spacing w:afterLines="40"/>
              <w:jc w:val="both"/>
            </w:pPr>
            <w:r w:rsidRPr="000A56F1">
              <w:rPr>
                <w:b/>
              </w:rPr>
              <w:t>Tryb wyboru projektów przez LGD</w:t>
            </w:r>
            <w:r w:rsidRPr="000A56F1">
              <w:t>: projekty grantowe.</w:t>
            </w:r>
          </w:p>
        </w:tc>
      </w:tr>
    </w:tbl>
    <w:p w:rsidR="00DA7D00" w:rsidRPr="00AC3341" w:rsidRDefault="00DA7D00" w:rsidP="00F24A1D">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proofErr w:type="spellStart"/>
            <w:r w:rsidR="000A56F1" w:rsidRPr="000A56F1">
              <w:t>Poddziałanie</w:t>
            </w:r>
            <w:proofErr w:type="spellEnd"/>
            <w:r w:rsidR="000A56F1" w:rsidRPr="000A56F1">
              <w:t xml:space="preserv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 xml:space="preserve">Przedsięwzięcia </w:t>
            </w:r>
            <w:r w:rsidRPr="00E97B46">
              <w:lastRenderedPageBreak/>
              <w:t>wykorzystane zostaną lokalne zasoby kulturowe, geograficzne, tożsamość i dziedzictwo obszaru LSR.</w:t>
            </w:r>
          </w:p>
          <w:p w:rsidR="00DA7D00" w:rsidRPr="00E97B46" w:rsidRDefault="00DA7D00" w:rsidP="00632CEB">
            <w:pPr>
              <w:jc w:val="both"/>
              <w:rPr>
                <w:b/>
                <w:i/>
              </w:rPr>
            </w:pPr>
            <w:r w:rsidRPr="00E97B46">
              <w:rPr>
                <w:b/>
                <w:i/>
              </w:rPr>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F24A1D">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2014-2020: </w:t>
            </w:r>
            <w:proofErr w:type="spellStart"/>
            <w:r>
              <w:t>Poddziałanie</w:t>
            </w:r>
            <w:proofErr w:type="spellEnd"/>
            <w:r>
              <w:t xml:space="preserv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 xml:space="preserve">Preferowane będą operacje uwzględniające działania promocyjne,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lastRenderedPageBreak/>
              <w:t>Beneficjenci - wnioskodawcy:</w:t>
            </w:r>
          </w:p>
          <w:p w:rsidR="00DA7D00" w:rsidRDefault="00DA7D00" w:rsidP="007F794D">
            <w:pPr>
              <w:pStyle w:val="Akapitzlist"/>
              <w:numPr>
                <w:ilvl w:val="0"/>
                <w:numId w:val="63"/>
              </w:numPr>
              <w:jc w:val="both"/>
            </w:pPr>
            <w:r>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 xml:space="preserve">63,63% kosztów </w:t>
            </w:r>
            <w:proofErr w:type="spellStart"/>
            <w:r w:rsidRPr="0038005B">
              <w:t>kwalifikowalnych</w:t>
            </w:r>
            <w:proofErr w:type="spellEnd"/>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F24A1D">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xml:space="preserve">, tj. informacje o dofinansowaniu operacji ze środków LSR (np. tablica informacyjna, ogłoszenie w prasie, informacja na stronie </w:t>
            </w:r>
            <w:proofErr w:type="spellStart"/>
            <w:r>
              <w:t>www</w:t>
            </w:r>
            <w:proofErr w:type="spellEnd"/>
            <w:r>
              <w:t>).</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lastRenderedPageBreak/>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 xml:space="preserve">kosztów </w:t>
            </w:r>
            <w:proofErr w:type="spellStart"/>
            <w:r w:rsidRPr="0038005B">
              <w:t>kwalifikowalnych</w:t>
            </w:r>
            <w:proofErr w:type="spellEnd"/>
          </w:p>
          <w:p w:rsidR="00DA7D00" w:rsidRDefault="00DA7D00" w:rsidP="00632CEB">
            <w:pPr>
              <w:jc w:val="both"/>
            </w:pPr>
            <w:r w:rsidRPr="001452BD">
              <w:rPr>
                <w:b/>
              </w:rPr>
              <w:t>Tryb wyboru projektów przez LGD</w:t>
            </w:r>
            <w:r>
              <w:t>: tryb konkursowy.</w:t>
            </w:r>
          </w:p>
        </w:tc>
      </w:tr>
    </w:tbl>
    <w:p w:rsidR="007A5E8E" w:rsidRPr="00AC3341" w:rsidRDefault="007A5E8E" w:rsidP="00F24A1D">
      <w:pPr>
        <w:spacing w:afterLines="40" w:line="240" w:lineRule="auto"/>
        <w:jc w:val="both"/>
        <w:rPr>
          <w:sz w:val="10"/>
          <w:szCs w:val="10"/>
        </w:rPr>
      </w:pPr>
    </w:p>
    <w:p w:rsidR="00DA7D00" w:rsidRPr="00632CEB" w:rsidRDefault="00632CEB" w:rsidP="00C078CB">
      <w:pPr>
        <w:pStyle w:val="Nagwek2"/>
      </w:pPr>
      <w:bookmarkStart w:id="62" w:name="_Toc438459066"/>
      <w:r w:rsidRPr="00632CEB">
        <w:t>Źródła finansowania celów LSR</w:t>
      </w:r>
      <w:bookmarkEnd w:id="62"/>
    </w:p>
    <w:p w:rsidR="00632CEB" w:rsidRDefault="00632CEB" w:rsidP="00F24A1D">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F24A1D">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3" w:name="_Toc439086520"/>
      <w:r w:rsidRPr="00632CEB">
        <w:rPr>
          <w:sz w:val="20"/>
          <w:szCs w:val="20"/>
        </w:rPr>
        <w:t xml:space="preserve">Tabela </w:t>
      </w:r>
      <w:r w:rsidR="000621AC" w:rsidRPr="00632CEB">
        <w:rPr>
          <w:sz w:val="20"/>
          <w:szCs w:val="20"/>
        </w:rPr>
        <w:fldChar w:fldCharType="begin"/>
      </w:r>
      <w:r w:rsidRPr="00632CEB">
        <w:rPr>
          <w:sz w:val="20"/>
          <w:szCs w:val="20"/>
        </w:rPr>
        <w:instrText xml:space="preserve"> SEQ Tabela \* ARABIC </w:instrText>
      </w:r>
      <w:r w:rsidR="000621AC" w:rsidRPr="00632CEB">
        <w:rPr>
          <w:sz w:val="20"/>
          <w:szCs w:val="20"/>
        </w:rPr>
        <w:fldChar w:fldCharType="separate"/>
      </w:r>
      <w:r w:rsidR="00B621E4">
        <w:rPr>
          <w:noProof/>
          <w:sz w:val="20"/>
          <w:szCs w:val="20"/>
        </w:rPr>
        <w:t>36</w:t>
      </w:r>
      <w:r w:rsidR="000621AC" w:rsidRPr="00632CEB">
        <w:rPr>
          <w:sz w:val="20"/>
          <w:szCs w:val="20"/>
        </w:rPr>
        <w:fldChar w:fldCharType="end"/>
      </w:r>
      <w:r w:rsidRPr="00632CEB">
        <w:rPr>
          <w:sz w:val="20"/>
          <w:szCs w:val="20"/>
        </w:rPr>
        <w:t xml:space="preserve"> Źródła finansowania celów LSR</w:t>
      </w:r>
      <w:bookmarkEnd w:id="63"/>
    </w:p>
    <w:tbl>
      <w:tblPr>
        <w:tblStyle w:val="Tabela-Siatka"/>
        <w:tblW w:w="10348" w:type="dxa"/>
        <w:jc w:val="center"/>
        <w:tblInd w:w="-601" w:type="dxa"/>
        <w:tblLayout w:type="fixed"/>
        <w:tblLook w:val="04A0"/>
      </w:tblPr>
      <w:tblGrid>
        <w:gridCol w:w="876"/>
        <w:gridCol w:w="1039"/>
        <w:gridCol w:w="1418"/>
        <w:gridCol w:w="1417"/>
        <w:gridCol w:w="1346"/>
        <w:gridCol w:w="1417"/>
        <w:gridCol w:w="1418"/>
        <w:gridCol w:w="1417"/>
      </w:tblGrid>
      <w:tr w:rsidR="00632CEB" w:rsidRPr="009C4EF5" w:rsidTr="009C4EF5">
        <w:trPr>
          <w:jc w:val="center"/>
        </w:trPr>
        <w:tc>
          <w:tcPr>
            <w:tcW w:w="876" w:type="dxa"/>
            <w:shd w:val="clear" w:color="auto" w:fill="0070C0"/>
          </w:tcPr>
          <w:p w:rsidR="00632CEB" w:rsidRPr="009C4EF5" w:rsidRDefault="00632CEB" w:rsidP="00F24A1D">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F24A1D">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F24A1D">
            <w:pPr>
              <w:spacing w:afterLines="40"/>
              <w:jc w:val="both"/>
              <w:rPr>
                <w:b/>
                <w:color w:val="FFFFFF" w:themeColor="background1"/>
              </w:rPr>
            </w:pPr>
            <w:proofErr w:type="spellStart"/>
            <w:r w:rsidRPr="009C4EF5">
              <w:rPr>
                <w:b/>
                <w:color w:val="FFFFFF" w:themeColor="background1"/>
              </w:rPr>
              <w:t>Przedsię-wzięcia</w:t>
            </w:r>
            <w:proofErr w:type="spellEnd"/>
          </w:p>
        </w:tc>
        <w:tc>
          <w:tcPr>
            <w:tcW w:w="1417" w:type="dxa"/>
            <w:shd w:val="clear" w:color="auto" w:fill="0070C0"/>
          </w:tcPr>
          <w:p w:rsidR="00632CEB" w:rsidRPr="009C4EF5" w:rsidRDefault="00632CEB" w:rsidP="00F24A1D">
            <w:pPr>
              <w:spacing w:afterLines="40"/>
              <w:jc w:val="both"/>
              <w:rPr>
                <w:b/>
                <w:color w:val="FFFFFF" w:themeColor="background1"/>
              </w:rPr>
            </w:pPr>
            <w:r w:rsidRPr="009C4EF5">
              <w:rPr>
                <w:b/>
                <w:color w:val="FFFFFF" w:themeColor="background1"/>
              </w:rPr>
              <w:t>PROW (EFRROW)</w:t>
            </w:r>
          </w:p>
        </w:tc>
        <w:tc>
          <w:tcPr>
            <w:tcW w:w="1346" w:type="dxa"/>
            <w:shd w:val="clear" w:color="auto" w:fill="0070C0"/>
          </w:tcPr>
          <w:p w:rsidR="00632CEB" w:rsidRPr="009C4EF5" w:rsidRDefault="00632CEB" w:rsidP="00F24A1D">
            <w:pPr>
              <w:spacing w:afterLines="40"/>
              <w:jc w:val="both"/>
              <w:rPr>
                <w:b/>
                <w:color w:val="FFFFFF" w:themeColor="background1"/>
              </w:rPr>
            </w:pPr>
            <w:r w:rsidRPr="009C4EF5">
              <w:rPr>
                <w:b/>
                <w:color w:val="FFFFFF" w:themeColor="background1"/>
              </w:rPr>
              <w:t>RPO (EFRR)</w:t>
            </w:r>
          </w:p>
        </w:tc>
        <w:tc>
          <w:tcPr>
            <w:tcW w:w="1417" w:type="dxa"/>
            <w:shd w:val="clear" w:color="auto" w:fill="0070C0"/>
          </w:tcPr>
          <w:p w:rsidR="00632CEB" w:rsidRPr="009C4EF5" w:rsidRDefault="00632CEB" w:rsidP="00F24A1D">
            <w:pPr>
              <w:spacing w:afterLines="40"/>
              <w:jc w:val="both"/>
              <w:rPr>
                <w:b/>
                <w:color w:val="FFFFFF" w:themeColor="background1"/>
              </w:rPr>
            </w:pPr>
            <w:r w:rsidRPr="009C4EF5">
              <w:rPr>
                <w:b/>
                <w:color w:val="FFFFFF" w:themeColor="background1"/>
              </w:rPr>
              <w:t>RPO (EFS)</w:t>
            </w:r>
          </w:p>
        </w:tc>
        <w:tc>
          <w:tcPr>
            <w:tcW w:w="1418" w:type="dxa"/>
            <w:shd w:val="clear" w:color="auto" w:fill="0070C0"/>
          </w:tcPr>
          <w:p w:rsidR="00632CEB" w:rsidRPr="009C4EF5" w:rsidRDefault="00632CEB" w:rsidP="00F24A1D">
            <w:pPr>
              <w:spacing w:afterLines="40"/>
              <w:jc w:val="both"/>
              <w:rPr>
                <w:b/>
                <w:color w:val="FFFFFF" w:themeColor="background1"/>
              </w:rPr>
            </w:pPr>
            <w:r w:rsidRPr="009C4EF5">
              <w:rPr>
                <w:b/>
                <w:color w:val="FFFFFF" w:themeColor="background1"/>
              </w:rPr>
              <w:t>Fundusz wiodący</w:t>
            </w:r>
          </w:p>
        </w:tc>
        <w:tc>
          <w:tcPr>
            <w:tcW w:w="1417" w:type="dxa"/>
            <w:shd w:val="clear" w:color="auto" w:fill="0070C0"/>
          </w:tcPr>
          <w:p w:rsidR="00632CEB" w:rsidRPr="009C4EF5" w:rsidRDefault="00632CEB" w:rsidP="00F24A1D">
            <w:pPr>
              <w:spacing w:afterLines="40"/>
              <w:jc w:val="both"/>
              <w:rPr>
                <w:b/>
                <w:color w:val="FFFFFF" w:themeColor="background1"/>
              </w:rPr>
            </w:pPr>
            <w:r w:rsidRPr="009C4EF5">
              <w:rPr>
                <w:b/>
                <w:color w:val="FFFFFF" w:themeColor="background1"/>
              </w:rPr>
              <w:t>Razem</w:t>
            </w:r>
          </w:p>
        </w:tc>
      </w:tr>
      <w:tr w:rsidR="00632CEB" w:rsidRPr="009C4EF5" w:rsidTr="009C4EF5">
        <w:trPr>
          <w:jc w:val="center"/>
        </w:trPr>
        <w:tc>
          <w:tcPr>
            <w:tcW w:w="876" w:type="dxa"/>
            <w:vMerge w:val="restart"/>
            <w:shd w:val="clear" w:color="auto" w:fill="auto"/>
          </w:tcPr>
          <w:p w:rsidR="00632CEB" w:rsidRPr="009C4EF5" w:rsidRDefault="00632CEB" w:rsidP="00F24A1D">
            <w:pPr>
              <w:spacing w:afterLines="40"/>
              <w:jc w:val="both"/>
            </w:pPr>
            <w:r w:rsidRPr="009C4EF5">
              <w:t>1.</w:t>
            </w:r>
          </w:p>
        </w:tc>
        <w:tc>
          <w:tcPr>
            <w:tcW w:w="1039" w:type="dxa"/>
            <w:vMerge w:val="restart"/>
            <w:shd w:val="clear" w:color="auto" w:fill="auto"/>
          </w:tcPr>
          <w:p w:rsidR="00632CEB" w:rsidRPr="009C4EF5" w:rsidRDefault="00632CEB" w:rsidP="00F24A1D">
            <w:pPr>
              <w:spacing w:afterLines="40"/>
              <w:jc w:val="both"/>
            </w:pPr>
            <w:r w:rsidRPr="009C4EF5">
              <w:t>1.1.</w:t>
            </w:r>
          </w:p>
        </w:tc>
        <w:tc>
          <w:tcPr>
            <w:tcW w:w="1418" w:type="dxa"/>
            <w:shd w:val="clear" w:color="auto" w:fill="auto"/>
          </w:tcPr>
          <w:p w:rsidR="00632CEB" w:rsidRPr="009C4EF5" w:rsidRDefault="00632CEB" w:rsidP="00F24A1D">
            <w:pPr>
              <w:spacing w:afterLines="40"/>
              <w:jc w:val="both"/>
            </w:pPr>
            <w:r w:rsidRPr="009C4EF5">
              <w:t>1.1.1.</w:t>
            </w:r>
          </w:p>
        </w:tc>
        <w:tc>
          <w:tcPr>
            <w:tcW w:w="1417" w:type="dxa"/>
            <w:shd w:val="clear" w:color="auto" w:fill="auto"/>
          </w:tcPr>
          <w:p w:rsidR="00632CEB" w:rsidRPr="000121F4" w:rsidRDefault="00841CF2" w:rsidP="00F24A1D">
            <w:pPr>
              <w:spacing w:afterLines="40"/>
              <w:jc w:val="both"/>
            </w:pPr>
            <w:r w:rsidRPr="000121F4">
              <w:t>9</w:t>
            </w:r>
            <w:r w:rsidR="00632CEB" w:rsidRPr="000121F4">
              <w:t>00.000 zł</w:t>
            </w:r>
          </w:p>
        </w:tc>
        <w:tc>
          <w:tcPr>
            <w:tcW w:w="1346" w:type="dxa"/>
            <w:shd w:val="clear" w:color="auto" w:fill="auto"/>
          </w:tcPr>
          <w:p w:rsidR="00632CEB" w:rsidRPr="00B258CE" w:rsidRDefault="00632CEB" w:rsidP="00F24A1D">
            <w:pPr>
              <w:spacing w:afterLines="40"/>
              <w:jc w:val="both"/>
              <w:rPr>
                <w:color w:val="FF0000"/>
              </w:rPr>
            </w:pPr>
          </w:p>
        </w:tc>
        <w:tc>
          <w:tcPr>
            <w:tcW w:w="1417" w:type="dxa"/>
            <w:shd w:val="clear" w:color="auto" w:fill="auto"/>
          </w:tcPr>
          <w:p w:rsidR="00632CEB" w:rsidRPr="00B258CE" w:rsidRDefault="00632CEB" w:rsidP="00F24A1D">
            <w:pPr>
              <w:spacing w:afterLines="40"/>
              <w:jc w:val="both"/>
              <w:rPr>
                <w:color w:val="FF0000"/>
              </w:rPr>
            </w:pPr>
          </w:p>
        </w:tc>
        <w:tc>
          <w:tcPr>
            <w:tcW w:w="1418" w:type="dxa"/>
            <w:shd w:val="clear" w:color="auto" w:fill="auto"/>
          </w:tcPr>
          <w:p w:rsidR="00632CEB" w:rsidRPr="00B258CE" w:rsidRDefault="00632CEB" w:rsidP="00F24A1D">
            <w:pPr>
              <w:spacing w:afterLines="40"/>
              <w:jc w:val="both"/>
              <w:rPr>
                <w:color w:val="FF0000"/>
              </w:rPr>
            </w:pPr>
          </w:p>
        </w:tc>
        <w:tc>
          <w:tcPr>
            <w:tcW w:w="1417" w:type="dxa"/>
            <w:shd w:val="clear" w:color="auto" w:fill="auto"/>
          </w:tcPr>
          <w:p w:rsidR="00632CEB" w:rsidRPr="000121F4" w:rsidRDefault="00841CF2" w:rsidP="00F24A1D">
            <w:pPr>
              <w:spacing w:afterLines="40"/>
              <w:jc w:val="both"/>
            </w:pPr>
            <w:r w:rsidRPr="000121F4">
              <w:t>9</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F24A1D">
            <w:pPr>
              <w:spacing w:afterLines="40"/>
              <w:jc w:val="both"/>
            </w:pPr>
          </w:p>
        </w:tc>
        <w:tc>
          <w:tcPr>
            <w:tcW w:w="1039" w:type="dxa"/>
            <w:vMerge/>
            <w:shd w:val="clear" w:color="auto" w:fill="auto"/>
          </w:tcPr>
          <w:p w:rsidR="00632CEB" w:rsidRPr="009C4EF5" w:rsidRDefault="00632CEB" w:rsidP="00F24A1D">
            <w:pPr>
              <w:spacing w:afterLines="40"/>
              <w:jc w:val="both"/>
            </w:pPr>
          </w:p>
        </w:tc>
        <w:tc>
          <w:tcPr>
            <w:tcW w:w="1418" w:type="dxa"/>
            <w:shd w:val="clear" w:color="auto" w:fill="auto"/>
          </w:tcPr>
          <w:p w:rsidR="00632CEB" w:rsidRPr="009C4EF5" w:rsidRDefault="00632CEB" w:rsidP="00F24A1D">
            <w:pPr>
              <w:spacing w:afterLines="40"/>
              <w:jc w:val="both"/>
            </w:pPr>
            <w:r w:rsidRPr="009C4EF5">
              <w:t>1.1.2.</w:t>
            </w:r>
          </w:p>
        </w:tc>
        <w:tc>
          <w:tcPr>
            <w:tcW w:w="1417" w:type="dxa"/>
            <w:shd w:val="clear" w:color="auto" w:fill="auto"/>
          </w:tcPr>
          <w:p w:rsidR="00632CEB" w:rsidRPr="000121F4" w:rsidRDefault="00841CF2" w:rsidP="00F24A1D">
            <w:pPr>
              <w:spacing w:afterLines="40"/>
              <w:jc w:val="both"/>
            </w:pPr>
            <w:r w:rsidRPr="000121F4">
              <w:t>1.8</w:t>
            </w:r>
            <w:r w:rsidR="00632CEB" w:rsidRPr="000121F4">
              <w:t>00.000 zł</w:t>
            </w:r>
          </w:p>
        </w:tc>
        <w:tc>
          <w:tcPr>
            <w:tcW w:w="1346" w:type="dxa"/>
            <w:shd w:val="clear" w:color="auto" w:fill="auto"/>
          </w:tcPr>
          <w:p w:rsidR="00632CEB" w:rsidRPr="00B258CE" w:rsidRDefault="00632CEB" w:rsidP="00F24A1D">
            <w:pPr>
              <w:spacing w:afterLines="40"/>
              <w:jc w:val="both"/>
              <w:rPr>
                <w:color w:val="FF0000"/>
              </w:rPr>
            </w:pPr>
          </w:p>
        </w:tc>
        <w:tc>
          <w:tcPr>
            <w:tcW w:w="1417" w:type="dxa"/>
            <w:shd w:val="clear" w:color="auto" w:fill="auto"/>
          </w:tcPr>
          <w:p w:rsidR="00632CEB" w:rsidRPr="00B258CE" w:rsidRDefault="00632CEB" w:rsidP="00F24A1D">
            <w:pPr>
              <w:spacing w:afterLines="40"/>
              <w:jc w:val="both"/>
              <w:rPr>
                <w:color w:val="FF0000"/>
              </w:rPr>
            </w:pPr>
          </w:p>
        </w:tc>
        <w:tc>
          <w:tcPr>
            <w:tcW w:w="1418" w:type="dxa"/>
            <w:shd w:val="clear" w:color="auto" w:fill="auto"/>
          </w:tcPr>
          <w:p w:rsidR="00632CEB" w:rsidRPr="00B258CE" w:rsidRDefault="00632CEB" w:rsidP="00F24A1D">
            <w:pPr>
              <w:spacing w:afterLines="40"/>
              <w:jc w:val="both"/>
              <w:rPr>
                <w:color w:val="FF0000"/>
              </w:rPr>
            </w:pPr>
          </w:p>
        </w:tc>
        <w:tc>
          <w:tcPr>
            <w:tcW w:w="1417" w:type="dxa"/>
            <w:shd w:val="clear" w:color="auto" w:fill="auto"/>
          </w:tcPr>
          <w:p w:rsidR="00632CEB" w:rsidRPr="000121F4" w:rsidRDefault="00841CF2" w:rsidP="00F24A1D">
            <w:pPr>
              <w:spacing w:afterLines="40"/>
              <w:jc w:val="both"/>
            </w:pPr>
            <w:r w:rsidRPr="000121F4">
              <w:t>1.8</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F24A1D">
            <w:pPr>
              <w:spacing w:afterLines="40"/>
              <w:jc w:val="both"/>
            </w:pPr>
          </w:p>
        </w:tc>
        <w:tc>
          <w:tcPr>
            <w:tcW w:w="1039" w:type="dxa"/>
            <w:shd w:val="clear" w:color="auto" w:fill="auto"/>
          </w:tcPr>
          <w:p w:rsidR="00632CEB" w:rsidRPr="009C4EF5" w:rsidRDefault="00632CEB" w:rsidP="00F24A1D">
            <w:pPr>
              <w:spacing w:afterLines="40"/>
              <w:jc w:val="both"/>
            </w:pPr>
            <w:r w:rsidRPr="009C4EF5">
              <w:t>1.2.</w:t>
            </w:r>
          </w:p>
        </w:tc>
        <w:tc>
          <w:tcPr>
            <w:tcW w:w="1418" w:type="dxa"/>
            <w:shd w:val="clear" w:color="auto" w:fill="auto"/>
          </w:tcPr>
          <w:p w:rsidR="00632CEB" w:rsidRPr="009C4EF5" w:rsidRDefault="00632CEB" w:rsidP="00F24A1D">
            <w:pPr>
              <w:spacing w:afterLines="40"/>
              <w:jc w:val="both"/>
            </w:pPr>
            <w:r w:rsidRPr="009C4EF5">
              <w:t>1.2.1.</w:t>
            </w:r>
          </w:p>
        </w:tc>
        <w:tc>
          <w:tcPr>
            <w:tcW w:w="1417" w:type="dxa"/>
            <w:shd w:val="clear" w:color="auto" w:fill="auto"/>
          </w:tcPr>
          <w:p w:rsidR="00632CEB" w:rsidRPr="000121F4" w:rsidRDefault="00632CEB" w:rsidP="00F24A1D">
            <w:pPr>
              <w:spacing w:afterLines="40"/>
              <w:jc w:val="both"/>
            </w:pPr>
          </w:p>
        </w:tc>
        <w:tc>
          <w:tcPr>
            <w:tcW w:w="1346" w:type="dxa"/>
            <w:shd w:val="clear" w:color="auto" w:fill="auto"/>
          </w:tcPr>
          <w:p w:rsidR="00632CEB" w:rsidRPr="001C4DA6" w:rsidRDefault="00995727" w:rsidP="00F24A1D">
            <w:pPr>
              <w:spacing w:afterLines="40"/>
              <w:jc w:val="both"/>
            </w:pPr>
            <w:r w:rsidRPr="001C4DA6">
              <w:t>1.15</w:t>
            </w:r>
            <w:r w:rsidR="00066240" w:rsidRPr="001C4DA6">
              <w:t>0.000 zł</w:t>
            </w:r>
          </w:p>
        </w:tc>
        <w:tc>
          <w:tcPr>
            <w:tcW w:w="1417" w:type="dxa"/>
            <w:shd w:val="clear" w:color="auto" w:fill="auto"/>
          </w:tcPr>
          <w:p w:rsidR="00632CEB" w:rsidRPr="001C4DA6" w:rsidRDefault="00632CEB" w:rsidP="00F24A1D">
            <w:pPr>
              <w:spacing w:afterLines="40"/>
              <w:jc w:val="both"/>
            </w:pPr>
          </w:p>
        </w:tc>
        <w:tc>
          <w:tcPr>
            <w:tcW w:w="1418"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995727" w:rsidP="00F24A1D">
            <w:pPr>
              <w:spacing w:afterLines="40"/>
              <w:jc w:val="both"/>
            </w:pPr>
            <w:r w:rsidRPr="001C4DA6">
              <w:t>1.15</w:t>
            </w:r>
            <w:r w:rsidR="00066240" w:rsidRPr="001C4DA6">
              <w:t>0.000 zł</w:t>
            </w:r>
          </w:p>
        </w:tc>
      </w:tr>
      <w:tr w:rsidR="00632CEB" w:rsidRPr="009C4EF5" w:rsidTr="009C4EF5">
        <w:trPr>
          <w:jc w:val="center"/>
        </w:trPr>
        <w:tc>
          <w:tcPr>
            <w:tcW w:w="876" w:type="dxa"/>
            <w:vMerge w:val="restart"/>
            <w:shd w:val="clear" w:color="auto" w:fill="auto"/>
          </w:tcPr>
          <w:p w:rsidR="00632CEB" w:rsidRPr="009C4EF5" w:rsidRDefault="00632CEB" w:rsidP="00F24A1D">
            <w:pPr>
              <w:spacing w:afterLines="40"/>
              <w:jc w:val="both"/>
            </w:pPr>
            <w:r w:rsidRPr="009C4EF5">
              <w:t>2.</w:t>
            </w:r>
          </w:p>
        </w:tc>
        <w:tc>
          <w:tcPr>
            <w:tcW w:w="1039" w:type="dxa"/>
            <w:vMerge w:val="restart"/>
            <w:shd w:val="clear" w:color="auto" w:fill="auto"/>
          </w:tcPr>
          <w:p w:rsidR="00632CEB" w:rsidRPr="009C4EF5" w:rsidRDefault="00632CEB" w:rsidP="00F24A1D">
            <w:pPr>
              <w:spacing w:afterLines="40"/>
              <w:jc w:val="both"/>
            </w:pPr>
            <w:r w:rsidRPr="009C4EF5">
              <w:t>2.1.</w:t>
            </w:r>
          </w:p>
        </w:tc>
        <w:tc>
          <w:tcPr>
            <w:tcW w:w="1418" w:type="dxa"/>
            <w:shd w:val="clear" w:color="auto" w:fill="auto"/>
          </w:tcPr>
          <w:p w:rsidR="00632CEB" w:rsidRPr="00D629AA" w:rsidRDefault="00632CEB" w:rsidP="00F24A1D">
            <w:pPr>
              <w:spacing w:afterLines="40"/>
              <w:jc w:val="both"/>
            </w:pPr>
            <w:r w:rsidRPr="00D629AA">
              <w:t>2.1.1.</w:t>
            </w:r>
          </w:p>
        </w:tc>
        <w:tc>
          <w:tcPr>
            <w:tcW w:w="1417" w:type="dxa"/>
            <w:shd w:val="clear" w:color="auto" w:fill="auto"/>
          </w:tcPr>
          <w:p w:rsidR="00632CEB" w:rsidRPr="00D629AA" w:rsidRDefault="00632CEB" w:rsidP="00F24A1D">
            <w:pPr>
              <w:spacing w:afterLines="40"/>
              <w:jc w:val="both"/>
            </w:pPr>
          </w:p>
        </w:tc>
        <w:tc>
          <w:tcPr>
            <w:tcW w:w="1346"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6778A9" w:rsidP="00F24A1D">
            <w:pPr>
              <w:spacing w:afterLines="40"/>
              <w:jc w:val="both"/>
            </w:pPr>
            <w:r w:rsidRPr="001C4DA6">
              <w:t>2.560.000</w:t>
            </w:r>
            <w:r w:rsidR="00632CEB" w:rsidRPr="001C4DA6">
              <w:t xml:space="preserve"> zł*</w:t>
            </w:r>
          </w:p>
        </w:tc>
        <w:tc>
          <w:tcPr>
            <w:tcW w:w="1418"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6778A9" w:rsidP="00F24A1D">
            <w:pPr>
              <w:spacing w:afterLines="40"/>
              <w:jc w:val="both"/>
            </w:pPr>
            <w:r w:rsidRPr="001C4DA6">
              <w:t>2.560.000 zł*</w:t>
            </w:r>
          </w:p>
        </w:tc>
      </w:tr>
      <w:tr w:rsidR="00632CEB" w:rsidRPr="009C4EF5" w:rsidTr="009C4EF5">
        <w:trPr>
          <w:jc w:val="center"/>
        </w:trPr>
        <w:tc>
          <w:tcPr>
            <w:tcW w:w="876" w:type="dxa"/>
            <w:vMerge/>
            <w:shd w:val="clear" w:color="auto" w:fill="auto"/>
          </w:tcPr>
          <w:p w:rsidR="00632CEB" w:rsidRPr="009C4EF5" w:rsidRDefault="00632CEB" w:rsidP="00F24A1D">
            <w:pPr>
              <w:spacing w:afterLines="40"/>
              <w:jc w:val="both"/>
            </w:pPr>
          </w:p>
        </w:tc>
        <w:tc>
          <w:tcPr>
            <w:tcW w:w="1039" w:type="dxa"/>
            <w:vMerge/>
            <w:shd w:val="clear" w:color="auto" w:fill="auto"/>
          </w:tcPr>
          <w:p w:rsidR="00632CEB" w:rsidRPr="009C4EF5" w:rsidRDefault="00632CEB" w:rsidP="00F24A1D">
            <w:pPr>
              <w:spacing w:afterLines="40"/>
              <w:jc w:val="both"/>
            </w:pPr>
          </w:p>
        </w:tc>
        <w:tc>
          <w:tcPr>
            <w:tcW w:w="1418" w:type="dxa"/>
            <w:shd w:val="clear" w:color="auto" w:fill="auto"/>
          </w:tcPr>
          <w:p w:rsidR="00632CEB" w:rsidRPr="00D629AA" w:rsidRDefault="00632CEB" w:rsidP="00F24A1D">
            <w:pPr>
              <w:spacing w:afterLines="40"/>
              <w:jc w:val="both"/>
            </w:pPr>
            <w:r w:rsidRPr="00D629AA">
              <w:t>2.1.</w:t>
            </w:r>
            <w:r w:rsidR="00FA35EE" w:rsidRPr="00D629AA">
              <w:t>2.</w:t>
            </w:r>
          </w:p>
        </w:tc>
        <w:tc>
          <w:tcPr>
            <w:tcW w:w="1417" w:type="dxa"/>
            <w:shd w:val="clear" w:color="auto" w:fill="auto"/>
          </w:tcPr>
          <w:p w:rsidR="00632CEB" w:rsidRPr="00D629AA" w:rsidRDefault="00632CEB" w:rsidP="00F24A1D">
            <w:pPr>
              <w:spacing w:afterLines="40"/>
              <w:jc w:val="both"/>
            </w:pPr>
          </w:p>
        </w:tc>
        <w:tc>
          <w:tcPr>
            <w:tcW w:w="1346"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632CEB" w:rsidP="00F24A1D">
            <w:pPr>
              <w:spacing w:afterLines="40"/>
              <w:jc w:val="both"/>
            </w:pPr>
          </w:p>
        </w:tc>
        <w:tc>
          <w:tcPr>
            <w:tcW w:w="1418" w:type="dxa"/>
            <w:shd w:val="clear" w:color="auto" w:fill="auto"/>
          </w:tcPr>
          <w:p w:rsidR="00632CEB" w:rsidRPr="001C4DA6" w:rsidRDefault="00632CEB" w:rsidP="00F24A1D">
            <w:pPr>
              <w:spacing w:afterLines="40"/>
              <w:jc w:val="both"/>
            </w:pPr>
            <w:r w:rsidRPr="001C4DA6">
              <w:t>1.125.</w:t>
            </w:r>
            <w:r w:rsidR="005D462B" w:rsidRPr="001C4DA6">
              <w:t>5</w:t>
            </w:r>
            <w:r w:rsidRPr="001C4DA6">
              <w:t>00 zł</w:t>
            </w:r>
          </w:p>
        </w:tc>
        <w:tc>
          <w:tcPr>
            <w:tcW w:w="1417" w:type="dxa"/>
            <w:shd w:val="clear" w:color="auto" w:fill="auto"/>
          </w:tcPr>
          <w:p w:rsidR="00632CEB" w:rsidRPr="001C4DA6" w:rsidRDefault="00632CEB" w:rsidP="00F24A1D">
            <w:pPr>
              <w:spacing w:afterLines="40"/>
              <w:jc w:val="both"/>
            </w:pPr>
            <w:r w:rsidRPr="001C4DA6">
              <w:t>1.125.</w:t>
            </w:r>
            <w:r w:rsidR="005D462B" w:rsidRPr="001C4DA6">
              <w:t>5</w:t>
            </w:r>
            <w:r w:rsidRPr="001C4DA6">
              <w:t>00 zł</w:t>
            </w:r>
          </w:p>
        </w:tc>
      </w:tr>
      <w:tr w:rsidR="00632CEB" w:rsidRPr="009C4EF5" w:rsidTr="009C4EF5">
        <w:trPr>
          <w:jc w:val="center"/>
        </w:trPr>
        <w:tc>
          <w:tcPr>
            <w:tcW w:w="876" w:type="dxa"/>
            <w:vMerge w:val="restart"/>
            <w:shd w:val="clear" w:color="auto" w:fill="auto"/>
          </w:tcPr>
          <w:p w:rsidR="00632CEB" w:rsidRPr="009C4EF5" w:rsidRDefault="00632CEB" w:rsidP="00F24A1D">
            <w:pPr>
              <w:spacing w:afterLines="40"/>
              <w:jc w:val="both"/>
            </w:pPr>
            <w:r w:rsidRPr="009C4EF5">
              <w:t>3.</w:t>
            </w:r>
          </w:p>
        </w:tc>
        <w:tc>
          <w:tcPr>
            <w:tcW w:w="1039" w:type="dxa"/>
            <w:vMerge w:val="restart"/>
            <w:shd w:val="clear" w:color="auto" w:fill="auto"/>
          </w:tcPr>
          <w:p w:rsidR="00632CEB" w:rsidRPr="009C4EF5" w:rsidRDefault="00632CEB" w:rsidP="00F24A1D">
            <w:pPr>
              <w:spacing w:afterLines="40"/>
              <w:jc w:val="both"/>
            </w:pPr>
            <w:r w:rsidRPr="009C4EF5">
              <w:t>3.1.</w:t>
            </w:r>
          </w:p>
        </w:tc>
        <w:tc>
          <w:tcPr>
            <w:tcW w:w="1418" w:type="dxa"/>
            <w:shd w:val="clear" w:color="auto" w:fill="auto"/>
          </w:tcPr>
          <w:p w:rsidR="00632CEB" w:rsidRPr="009C4EF5" w:rsidRDefault="00632CEB" w:rsidP="00F24A1D">
            <w:pPr>
              <w:spacing w:afterLines="40"/>
              <w:jc w:val="both"/>
            </w:pPr>
            <w:r w:rsidRPr="009C4EF5">
              <w:t>3.1.1.</w:t>
            </w:r>
          </w:p>
        </w:tc>
        <w:tc>
          <w:tcPr>
            <w:tcW w:w="1417" w:type="dxa"/>
            <w:shd w:val="clear" w:color="auto" w:fill="auto"/>
          </w:tcPr>
          <w:p w:rsidR="00632CEB" w:rsidRPr="000121F4" w:rsidRDefault="0027247D" w:rsidP="00F24A1D">
            <w:pPr>
              <w:spacing w:afterLines="40"/>
              <w:jc w:val="both"/>
            </w:pPr>
            <w:r w:rsidRPr="000121F4">
              <w:t>1.</w:t>
            </w:r>
            <w:r w:rsidR="00143F4D" w:rsidRPr="000121F4">
              <w:t>092.860</w:t>
            </w:r>
            <w:r w:rsidR="00632CEB" w:rsidRPr="000121F4">
              <w:t xml:space="preserve"> zł</w:t>
            </w:r>
          </w:p>
        </w:tc>
        <w:tc>
          <w:tcPr>
            <w:tcW w:w="1346"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632CEB" w:rsidP="00F24A1D">
            <w:pPr>
              <w:spacing w:afterLines="40"/>
              <w:jc w:val="both"/>
            </w:pPr>
          </w:p>
        </w:tc>
        <w:tc>
          <w:tcPr>
            <w:tcW w:w="1418"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B75724" w:rsidP="00F24A1D">
            <w:pPr>
              <w:spacing w:afterLines="40"/>
              <w:jc w:val="both"/>
            </w:pPr>
            <w:r w:rsidRPr="001C4DA6">
              <w:t>1.092.860</w:t>
            </w:r>
            <w:r w:rsidR="00632CEB" w:rsidRPr="001C4DA6">
              <w:t xml:space="preserve"> zł</w:t>
            </w:r>
          </w:p>
        </w:tc>
      </w:tr>
      <w:tr w:rsidR="00632CEB" w:rsidRPr="009C4EF5" w:rsidTr="009C4EF5">
        <w:trPr>
          <w:jc w:val="center"/>
        </w:trPr>
        <w:tc>
          <w:tcPr>
            <w:tcW w:w="876" w:type="dxa"/>
            <w:vMerge/>
            <w:shd w:val="clear" w:color="auto" w:fill="auto"/>
          </w:tcPr>
          <w:p w:rsidR="00632CEB" w:rsidRPr="009C4EF5" w:rsidRDefault="00632CEB" w:rsidP="00F24A1D">
            <w:pPr>
              <w:spacing w:afterLines="40"/>
              <w:jc w:val="both"/>
            </w:pPr>
          </w:p>
        </w:tc>
        <w:tc>
          <w:tcPr>
            <w:tcW w:w="1039" w:type="dxa"/>
            <w:vMerge/>
            <w:shd w:val="clear" w:color="auto" w:fill="auto"/>
          </w:tcPr>
          <w:p w:rsidR="00632CEB" w:rsidRPr="009C4EF5" w:rsidRDefault="00632CEB" w:rsidP="00F24A1D">
            <w:pPr>
              <w:spacing w:afterLines="40"/>
              <w:jc w:val="both"/>
            </w:pPr>
          </w:p>
        </w:tc>
        <w:tc>
          <w:tcPr>
            <w:tcW w:w="1418" w:type="dxa"/>
            <w:shd w:val="clear" w:color="auto" w:fill="auto"/>
          </w:tcPr>
          <w:p w:rsidR="00632CEB" w:rsidRPr="009C4EF5" w:rsidRDefault="00632CEB" w:rsidP="00F24A1D">
            <w:pPr>
              <w:spacing w:afterLines="40"/>
              <w:jc w:val="both"/>
            </w:pPr>
            <w:r w:rsidRPr="009C4EF5">
              <w:t>3.1.2.</w:t>
            </w:r>
          </w:p>
        </w:tc>
        <w:tc>
          <w:tcPr>
            <w:tcW w:w="1417" w:type="dxa"/>
            <w:shd w:val="clear" w:color="auto" w:fill="auto"/>
          </w:tcPr>
          <w:p w:rsidR="00632CEB" w:rsidRPr="000121F4" w:rsidRDefault="00632CEB" w:rsidP="00F24A1D">
            <w:pPr>
              <w:spacing w:afterLines="40"/>
              <w:jc w:val="both"/>
            </w:pPr>
            <w:r w:rsidRPr="000121F4">
              <w:t>150.000 zł*</w:t>
            </w:r>
          </w:p>
        </w:tc>
        <w:tc>
          <w:tcPr>
            <w:tcW w:w="1346"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632CEB" w:rsidP="00F24A1D">
            <w:pPr>
              <w:spacing w:afterLines="40"/>
              <w:jc w:val="both"/>
            </w:pPr>
          </w:p>
        </w:tc>
        <w:tc>
          <w:tcPr>
            <w:tcW w:w="1418"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632CEB" w:rsidP="00F24A1D">
            <w:pPr>
              <w:spacing w:afterLines="40"/>
              <w:jc w:val="both"/>
            </w:pPr>
            <w:r w:rsidRPr="001C4DA6">
              <w:t>150.000 zł*</w:t>
            </w:r>
          </w:p>
        </w:tc>
      </w:tr>
      <w:tr w:rsidR="00632CEB" w:rsidRPr="009C4EF5" w:rsidTr="009C4EF5">
        <w:trPr>
          <w:jc w:val="center"/>
        </w:trPr>
        <w:tc>
          <w:tcPr>
            <w:tcW w:w="876" w:type="dxa"/>
            <w:vMerge/>
            <w:shd w:val="clear" w:color="auto" w:fill="auto"/>
          </w:tcPr>
          <w:p w:rsidR="00632CEB" w:rsidRPr="009C4EF5" w:rsidRDefault="00632CEB" w:rsidP="00F24A1D">
            <w:pPr>
              <w:spacing w:afterLines="40"/>
              <w:jc w:val="both"/>
            </w:pPr>
          </w:p>
        </w:tc>
        <w:tc>
          <w:tcPr>
            <w:tcW w:w="1039" w:type="dxa"/>
            <w:vMerge/>
            <w:shd w:val="clear" w:color="auto" w:fill="auto"/>
          </w:tcPr>
          <w:p w:rsidR="00632CEB" w:rsidRPr="009C4EF5" w:rsidRDefault="00632CEB" w:rsidP="00F24A1D">
            <w:pPr>
              <w:spacing w:afterLines="40"/>
              <w:jc w:val="both"/>
            </w:pPr>
          </w:p>
        </w:tc>
        <w:tc>
          <w:tcPr>
            <w:tcW w:w="1418" w:type="dxa"/>
            <w:shd w:val="clear" w:color="auto" w:fill="auto"/>
          </w:tcPr>
          <w:p w:rsidR="00632CEB" w:rsidRPr="009C4EF5" w:rsidRDefault="00632CEB" w:rsidP="00F24A1D">
            <w:pPr>
              <w:spacing w:afterLines="40"/>
              <w:jc w:val="both"/>
            </w:pPr>
            <w:r w:rsidRPr="009C4EF5">
              <w:t>3.1.3.</w:t>
            </w:r>
          </w:p>
        </w:tc>
        <w:tc>
          <w:tcPr>
            <w:tcW w:w="1417" w:type="dxa"/>
            <w:shd w:val="clear" w:color="auto" w:fill="auto"/>
          </w:tcPr>
          <w:p w:rsidR="00632CEB" w:rsidRPr="000121F4" w:rsidRDefault="00B75724" w:rsidP="00F24A1D">
            <w:pPr>
              <w:spacing w:afterLines="40"/>
              <w:jc w:val="both"/>
            </w:pPr>
            <w:r w:rsidRPr="000121F4">
              <w:t>9</w:t>
            </w:r>
            <w:r w:rsidR="00632CEB" w:rsidRPr="000121F4">
              <w:t>0.000 zł**</w:t>
            </w:r>
          </w:p>
        </w:tc>
        <w:tc>
          <w:tcPr>
            <w:tcW w:w="1346"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632CEB" w:rsidP="00F24A1D">
            <w:pPr>
              <w:spacing w:afterLines="40"/>
              <w:jc w:val="both"/>
            </w:pPr>
          </w:p>
        </w:tc>
        <w:tc>
          <w:tcPr>
            <w:tcW w:w="1418"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B75724" w:rsidP="00F24A1D">
            <w:pPr>
              <w:spacing w:afterLines="40"/>
              <w:jc w:val="both"/>
            </w:pPr>
            <w:r w:rsidRPr="001C4DA6">
              <w:t>9</w:t>
            </w:r>
            <w:r w:rsidR="00632CEB" w:rsidRPr="001C4DA6">
              <w:t>0.000 zł**</w:t>
            </w:r>
          </w:p>
        </w:tc>
      </w:tr>
      <w:tr w:rsidR="00632CEB" w:rsidRPr="009C4EF5" w:rsidTr="009C4EF5">
        <w:trPr>
          <w:jc w:val="center"/>
        </w:trPr>
        <w:tc>
          <w:tcPr>
            <w:tcW w:w="876" w:type="dxa"/>
            <w:vMerge/>
            <w:shd w:val="clear" w:color="auto" w:fill="auto"/>
          </w:tcPr>
          <w:p w:rsidR="00632CEB" w:rsidRPr="009C4EF5" w:rsidRDefault="00632CEB" w:rsidP="00F24A1D">
            <w:pPr>
              <w:spacing w:afterLines="40"/>
              <w:jc w:val="both"/>
            </w:pPr>
          </w:p>
        </w:tc>
        <w:tc>
          <w:tcPr>
            <w:tcW w:w="1039" w:type="dxa"/>
            <w:vMerge w:val="restart"/>
            <w:shd w:val="clear" w:color="auto" w:fill="auto"/>
          </w:tcPr>
          <w:p w:rsidR="00632CEB" w:rsidRPr="009C4EF5" w:rsidRDefault="00632CEB" w:rsidP="00F24A1D">
            <w:pPr>
              <w:spacing w:afterLines="40"/>
              <w:jc w:val="both"/>
            </w:pPr>
            <w:r w:rsidRPr="009C4EF5">
              <w:t>3.2.</w:t>
            </w:r>
          </w:p>
        </w:tc>
        <w:tc>
          <w:tcPr>
            <w:tcW w:w="1418" w:type="dxa"/>
            <w:shd w:val="clear" w:color="auto" w:fill="auto"/>
          </w:tcPr>
          <w:p w:rsidR="00632CEB" w:rsidRPr="009C4EF5" w:rsidRDefault="00632CEB" w:rsidP="00F24A1D">
            <w:pPr>
              <w:spacing w:afterLines="40"/>
              <w:jc w:val="both"/>
            </w:pPr>
            <w:r w:rsidRPr="009C4EF5">
              <w:t>3.2.1.</w:t>
            </w:r>
          </w:p>
        </w:tc>
        <w:tc>
          <w:tcPr>
            <w:tcW w:w="1417" w:type="dxa"/>
            <w:shd w:val="clear" w:color="auto" w:fill="auto"/>
          </w:tcPr>
          <w:p w:rsidR="00632CEB" w:rsidRPr="000121F4" w:rsidRDefault="00841CF2" w:rsidP="00F24A1D">
            <w:pPr>
              <w:spacing w:afterLines="40"/>
              <w:jc w:val="both"/>
            </w:pPr>
            <w:r w:rsidRPr="000121F4">
              <w:t>1.</w:t>
            </w:r>
            <w:r w:rsidR="00143F4D" w:rsidRPr="000121F4">
              <w:t>457.140</w:t>
            </w:r>
            <w:r w:rsidR="00632CEB" w:rsidRPr="000121F4">
              <w:t xml:space="preserve"> zł</w:t>
            </w:r>
          </w:p>
        </w:tc>
        <w:tc>
          <w:tcPr>
            <w:tcW w:w="1346"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632CEB" w:rsidP="00F24A1D">
            <w:pPr>
              <w:spacing w:afterLines="40"/>
              <w:jc w:val="both"/>
            </w:pPr>
          </w:p>
        </w:tc>
        <w:tc>
          <w:tcPr>
            <w:tcW w:w="1418" w:type="dxa"/>
            <w:shd w:val="clear" w:color="auto" w:fill="auto"/>
          </w:tcPr>
          <w:p w:rsidR="00632CEB" w:rsidRPr="001C4DA6" w:rsidRDefault="00632CEB" w:rsidP="00F24A1D">
            <w:pPr>
              <w:spacing w:afterLines="40"/>
              <w:jc w:val="both"/>
            </w:pPr>
          </w:p>
        </w:tc>
        <w:tc>
          <w:tcPr>
            <w:tcW w:w="1417" w:type="dxa"/>
            <w:shd w:val="clear" w:color="auto" w:fill="auto"/>
          </w:tcPr>
          <w:p w:rsidR="00632CEB" w:rsidRPr="001C4DA6" w:rsidRDefault="00B75724" w:rsidP="00F24A1D">
            <w:pPr>
              <w:spacing w:afterLines="40"/>
              <w:jc w:val="both"/>
            </w:pPr>
            <w:r w:rsidRPr="001C4DA6">
              <w:t>1.457.140</w:t>
            </w:r>
            <w:r w:rsidR="00632CEB" w:rsidRPr="001C4DA6">
              <w:t xml:space="preserve"> zł</w:t>
            </w:r>
          </w:p>
        </w:tc>
      </w:tr>
      <w:tr w:rsidR="00632CEB" w:rsidRPr="009C4EF5" w:rsidTr="009C4EF5">
        <w:trPr>
          <w:jc w:val="center"/>
        </w:trPr>
        <w:tc>
          <w:tcPr>
            <w:tcW w:w="876" w:type="dxa"/>
            <w:vMerge/>
            <w:tcBorders>
              <w:bottom w:val="single" w:sz="4" w:space="0" w:color="auto"/>
            </w:tcBorders>
            <w:shd w:val="clear" w:color="auto" w:fill="auto"/>
          </w:tcPr>
          <w:p w:rsidR="00632CEB" w:rsidRPr="009C4EF5" w:rsidRDefault="00632CEB" w:rsidP="00F24A1D">
            <w:pPr>
              <w:spacing w:afterLines="40"/>
              <w:jc w:val="both"/>
            </w:pPr>
          </w:p>
        </w:tc>
        <w:tc>
          <w:tcPr>
            <w:tcW w:w="1039" w:type="dxa"/>
            <w:vMerge/>
            <w:tcBorders>
              <w:bottom w:val="single" w:sz="4" w:space="0" w:color="auto"/>
            </w:tcBorders>
            <w:shd w:val="clear" w:color="auto" w:fill="auto"/>
          </w:tcPr>
          <w:p w:rsidR="00632CEB" w:rsidRPr="009C4EF5" w:rsidRDefault="00632CEB" w:rsidP="00F24A1D">
            <w:pPr>
              <w:spacing w:afterLines="40"/>
              <w:jc w:val="both"/>
            </w:pPr>
          </w:p>
        </w:tc>
        <w:tc>
          <w:tcPr>
            <w:tcW w:w="1418" w:type="dxa"/>
            <w:tcBorders>
              <w:bottom w:val="single" w:sz="4" w:space="0" w:color="auto"/>
            </w:tcBorders>
            <w:shd w:val="clear" w:color="auto" w:fill="auto"/>
          </w:tcPr>
          <w:p w:rsidR="00632CEB" w:rsidRPr="009C4EF5" w:rsidRDefault="0027247D" w:rsidP="00F24A1D">
            <w:pPr>
              <w:spacing w:afterLines="40"/>
              <w:jc w:val="both"/>
            </w:pPr>
            <w:r>
              <w:t>3.2.2</w:t>
            </w:r>
            <w:r w:rsidR="00632CEB" w:rsidRPr="009C4EF5">
              <w:t>.</w:t>
            </w:r>
          </w:p>
        </w:tc>
        <w:tc>
          <w:tcPr>
            <w:tcW w:w="1417" w:type="dxa"/>
            <w:tcBorders>
              <w:bottom w:val="single" w:sz="4" w:space="0" w:color="auto"/>
            </w:tcBorders>
            <w:shd w:val="clear" w:color="auto" w:fill="auto"/>
          </w:tcPr>
          <w:p w:rsidR="00632CEB" w:rsidRPr="000121F4" w:rsidRDefault="00632CEB" w:rsidP="00F24A1D">
            <w:pPr>
              <w:spacing w:afterLines="40"/>
              <w:jc w:val="both"/>
            </w:pPr>
          </w:p>
        </w:tc>
        <w:tc>
          <w:tcPr>
            <w:tcW w:w="1346" w:type="dxa"/>
            <w:tcBorders>
              <w:bottom w:val="single" w:sz="4" w:space="0" w:color="auto"/>
            </w:tcBorders>
            <w:shd w:val="clear" w:color="auto" w:fill="auto"/>
          </w:tcPr>
          <w:p w:rsidR="00632CEB" w:rsidRPr="001C4DA6" w:rsidRDefault="00995727" w:rsidP="00F24A1D">
            <w:pPr>
              <w:spacing w:afterLines="40"/>
              <w:jc w:val="both"/>
            </w:pPr>
            <w:r w:rsidRPr="001C4DA6">
              <w:t>5.25</w:t>
            </w:r>
            <w:r w:rsidR="00066240" w:rsidRPr="001C4DA6">
              <w:t>0.000 zł</w:t>
            </w:r>
          </w:p>
        </w:tc>
        <w:tc>
          <w:tcPr>
            <w:tcW w:w="1417" w:type="dxa"/>
            <w:tcBorders>
              <w:bottom w:val="single" w:sz="4" w:space="0" w:color="auto"/>
            </w:tcBorders>
            <w:shd w:val="clear" w:color="auto" w:fill="auto"/>
          </w:tcPr>
          <w:p w:rsidR="00632CEB" w:rsidRPr="001C4DA6" w:rsidRDefault="00632CEB" w:rsidP="00F24A1D">
            <w:pPr>
              <w:spacing w:afterLines="40"/>
              <w:jc w:val="both"/>
            </w:pPr>
          </w:p>
        </w:tc>
        <w:tc>
          <w:tcPr>
            <w:tcW w:w="1418" w:type="dxa"/>
            <w:tcBorders>
              <w:bottom w:val="single" w:sz="4" w:space="0" w:color="auto"/>
            </w:tcBorders>
            <w:shd w:val="clear" w:color="auto" w:fill="auto"/>
          </w:tcPr>
          <w:p w:rsidR="00632CEB" w:rsidRPr="001C4DA6" w:rsidRDefault="00632CEB" w:rsidP="00F24A1D">
            <w:pPr>
              <w:spacing w:afterLines="40"/>
              <w:jc w:val="both"/>
            </w:pPr>
          </w:p>
        </w:tc>
        <w:tc>
          <w:tcPr>
            <w:tcW w:w="1417" w:type="dxa"/>
            <w:tcBorders>
              <w:bottom w:val="single" w:sz="4" w:space="0" w:color="auto"/>
            </w:tcBorders>
            <w:shd w:val="clear" w:color="auto" w:fill="auto"/>
          </w:tcPr>
          <w:p w:rsidR="00632CEB" w:rsidRPr="001C4DA6" w:rsidRDefault="00995727" w:rsidP="00F24A1D">
            <w:pPr>
              <w:spacing w:afterLines="40"/>
              <w:jc w:val="both"/>
            </w:pPr>
            <w:r w:rsidRPr="001C4DA6">
              <w:t>5.25</w:t>
            </w:r>
            <w:r w:rsidR="00066240" w:rsidRPr="001C4DA6">
              <w:t>0.000 zł</w:t>
            </w:r>
          </w:p>
        </w:tc>
      </w:tr>
      <w:tr w:rsidR="00632CEB" w:rsidRPr="009C4EF5" w:rsidTr="009C4EF5">
        <w:trPr>
          <w:jc w:val="center"/>
        </w:trPr>
        <w:tc>
          <w:tcPr>
            <w:tcW w:w="3333" w:type="dxa"/>
            <w:gridSpan w:val="3"/>
            <w:shd w:val="clear" w:color="auto" w:fill="C6D9F1" w:themeFill="text2" w:themeFillTint="33"/>
          </w:tcPr>
          <w:p w:rsidR="00632CEB" w:rsidRPr="009C4EF5" w:rsidRDefault="00632CEB" w:rsidP="00F24A1D">
            <w:pPr>
              <w:spacing w:afterLines="40"/>
              <w:rPr>
                <w:b/>
              </w:rPr>
            </w:pPr>
            <w:r w:rsidRPr="009C4EF5">
              <w:rPr>
                <w:b/>
              </w:rPr>
              <w:t>Razem bez projektu współpracy i kosztów aktywizacji</w:t>
            </w:r>
          </w:p>
        </w:tc>
        <w:tc>
          <w:tcPr>
            <w:tcW w:w="1417" w:type="dxa"/>
            <w:shd w:val="clear" w:color="auto" w:fill="C6D9F1" w:themeFill="text2" w:themeFillTint="33"/>
          </w:tcPr>
          <w:p w:rsidR="00632CEB" w:rsidRPr="000121F4" w:rsidRDefault="00847AF2" w:rsidP="00F24A1D">
            <w:pPr>
              <w:spacing w:afterLines="40"/>
              <w:jc w:val="both"/>
              <w:rPr>
                <w:b/>
              </w:rPr>
            </w:pPr>
            <w:r w:rsidRPr="000121F4">
              <w:rPr>
                <w:b/>
              </w:rPr>
              <w:t>5</w:t>
            </w:r>
            <w:r w:rsidR="00632CEB" w:rsidRPr="000121F4">
              <w:rPr>
                <w:b/>
              </w:rPr>
              <w:t>.</w:t>
            </w:r>
            <w:r w:rsidRPr="000121F4">
              <w:rPr>
                <w:b/>
              </w:rPr>
              <w:t>4</w:t>
            </w:r>
            <w:r w:rsidR="00632CEB" w:rsidRPr="000121F4">
              <w:rPr>
                <w:b/>
              </w:rPr>
              <w:t>00.000 zł</w:t>
            </w:r>
          </w:p>
        </w:tc>
        <w:tc>
          <w:tcPr>
            <w:tcW w:w="1346" w:type="dxa"/>
            <w:tcBorders>
              <w:bottom w:val="single" w:sz="4" w:space="0" w:color="auto"/>
            </w:tcBorders>
            <w:shd w:val="clear" w:color="auto" w:fill="C6D9F1" w:themeFill="text2" w:themeFillTint="33"/>
          </w:tcPr>
          <w:p w:rsidR="00632CEB" w:rsidRPr="009C4EF5" w:rsidRDefault="00632CEB" w:rsidP="00F24A1D">
            <w:pPr>
              <w:spacing w:afterLines="40"/>
              <w:jc w:val="both"/>
              <w:rPr>
                <w:b/>
              </w:rPr>
            </w:pPr>
            <w:r w:rsidRPr="009C4EF5">
              <w:rPr>
                <w:b/>
              </w:rPr>
              <w:t>6.400.000 zł</w:t>
            </w:r>
          </w:p>
        </w:tc>
        <w:tc>
          <w:tcPr>
            <w:tcW w:w="1417" w:type="dxa"/>
            <w:tcBorders>
              <w:bottom w:val="single" w:sz="4" w:space="0" w:color="auto"/>
            </w:tcBorders>
            <w:shd w:val="clear" w:color="auto" w:fill="C6D9F1" w:themeFill="text2" w:themeFillTint="33"/>
          </w:tcPr>
          <w:p w:rsidR="00632CEB" w:rsidRPr="009C4EF5" w:rsidRDefault="00632CEB" w:rsidP="00F24A1D">
            <w:pPr>
              <w:spacing w:afterLines="40"/>
              <w:jc w:val="both"/>
              <w:rPr>
                <w:b/>
              </w:rPr>
            </w:pPr>
            <w:r w:rsidRPr="009C4EF5">
              <w:rPr>
                <w:b/>
              </w:rPr>
              <w:t>2.560.000 zł</w:t>
            </w:r>
          </w:p>
        </w:tc>
        <w:tc>
          <w:tcPr>
            <w:tcW w:w="1418" w:type="dxa"/>
            <w:tcBorders>
              <w:bottom w:val="single" w:sz="4" w:space="0" w:color="auto"/>
            </w:tcBorders>
            <w:shd w:val="clear" w:color="auto" w:fill="C6D9F1" w:themeFill="text2" w:themeFillTint="33"/>
          </w:tcPr>
          <w:p w:rsidR="00632CEB" w:rsidRPr="009C4EF5" w:rsidRDefault="00632CEB" w:rsidP="00F24A1D">
            <w:pPr>
              <w:spacing w:afterLines="40"/>
              <w:jc w:val="both"/>
              <w:rPr>
                <w:b/>
              </w:rPr>
            </w:pPr>
          </w:p>
        </w:tc>
        <w:tc>
          <w:tcPr>
            <w:tcW w:w="1417" w:type="dxa"/>
            <w:tcBorders>
              <w:bottom w:val="single" w:sz="4" w:space="0" w:color="auto"/>
            </w:tcBorders>
            <w:shd w:val="clear" w:color="auto" w:fill="C6D9F1" w:themeFill="text2" w:themeFillTint="33"/>
          </w:tcPr>
          <w:p w:rsidR="00632CEB" w:rsidRPr="000121F4" w:rsidRDefault="00B75724" w:rsidP="00F24A1D">
            <w:pPr>
              <w:spacing w:afterLines="40"/>
              <w:jc w:val="both"/>
              <w:rPr>
                <w:b/>
              </w:rPr>
            </w:pPr>
            <w:r w:rsidRPr="000121F4">
              <w:rPr>
                <w:b/>
              </w:rPr>
              <w:t>14.3</w:t>
            </w:r>
            <w:r w:rsidR="00632CEB" w:rsidRPr="000121F4">
              <w:rPr>
                <w:b/>
              </w:rPr>
              <w:t>60.000 zł</w:t>
            </w:r>
          </w:p>
        </w:tc>
      </w:tr>
      <w:tr w:rsidR="00632CEB" w:rsidRPr="009C4EF5" w:rsidTr="009C4EF5">
        <w:trPr>
          <w:jc w:val="center"/>
        </w:trPr>
        <w:tc>
          <w:tcPr>
            <w:tcW w:w="3333" w:type="dxa"/>
            <w:gridSpan w:val="3"/>
            <w:shd w:val="clear" w:color="auto" w:fill="auto"/>
          </w:tcPr>
          <w:p w:rsidR="00632CEB" w:rsidRPr="009C4EF5" w:rsidRDefault="00632CEB" w:rsidP="00F24A1D">
            <w:pPr>
              <w:spacing w:afterLines="40"/>
              <w:rPr>
                <w:b/>
              </w:rPr>
            </w:pPr>
            <w:r w:rsidRPr="009C4EF5">
              <w:rPr>
                <w:b/>
              </w:rPr>
              <w:t>Razem projekt współpracy (3.1.3)</w:t>
            </w:r>
          </w:p>
        </w:tc>
        <w:tc>
          <w:tcPr>
            <w:tcW w:w="1417" w:type="dxa"/>
            <w:shd w:val="clear" w:color="auto" w:fill="auto"/>
          </w:tcPr>
          <w:p w:rsidR="00632CEB" w:rsidRPr="000121F4" w:rsidRDefault="00B75724" w:rsidP="00F24A1D">
            <w:pPr>
              <w:spacing w:afterLines="40"/>
              <w:jc w:val="both"/>
              <w:rPr>
                <w:b/>
              </w:rPr>
            </w:pPr>
            <w:r w:rsidRPr="000121F4">
              <w:rPr>
                <w:b/>
              </w:rPr>
              <w:t>9</w:t>
            </w:r>
            <w:r w:rsidR="00632CEB" w:rsidRPr="000121F4">
              <w:rPr>
                <w:b/>
              </w:rPr>
              <w:t>0.000 zł</w:t>
            </w:r>
          </w:p>
        </w:tc>
        <w:tc>
          <w:tcPr>
            <w:tcW w:w="5598" w:type="dxa"/>
            <w:gridSpan w:val="4"/>
            <w:shd w:val="clear" w:color="auto" w:fill="0070C0"/>
          </w:tcPr>
          <w:p w:rsidR="00632CEB" w:rsidRPr="009C4EF5" w:rsidRDefault="00632CEB" w:rsidP="00F24A1D">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F24A1D">
            <w:pPr>
              <w:spacing w:afterLines="40"/>
              <w:rPr>
                <w:b/>
              </w:rPr>
            </w:pPr>
            <w:r w:rsidRPr="009C4EF5">
              <w:rPr>
                <w:b/>
              </w:rPr>
              <w:t xml:space="preserve">Razem </w:t>
            </w:r>
            <w:r w:rsidR="00676816">
              <w:rPr>
                <w:b/>
              </w:rPr>
              <w:t>koszty aktywizacji (2.1.2</w:t>
            </w:r>
            <w:r w:rsidRPr="009C4EF5">
              <w:rPr>
                <w:b/>
              </w:rPr>
              <w:t>)</w:t>
            </w:r>
          </w:p>
        </w:tc>
        <w:tc>
          <w:tcPr>
            <w:tcW w:w="4180" w:type="dxa"/>
            <w:gridSpan w:val="3"/>
            <w:shd w:val="clear" w:color="auto" w:fill="0070C0"/>
          </w:tcPr>
          <w:p w:rsidR="00632CEB" w:rsidRPr="009C4EF5" w:rsidRDefault="00632CEB" w:rsidP="00F24A1D">
            <w:pPr>
              <w:spacing w:afterLines="40"/>
              <w:jc w:val="both"/>
              <w:rPr>
                <w:b/>
              </w:rPr>
            </w:pPr>
          </w:p>
        </w:tc>
        <w:tc>
          <w:tcPr>
            <w:tcW w:w="1418" w:type="dxa"/>
            <w:shd w:val="clear" w:color="auto" w:fill="auto"/>
          </w:tcPr>
          <w:p w:rsidR="00632CEB" w:rsidRPr="00A81AC0" w:rsidRDefault="00632CEB" w:rsidP="00F24A1D">
            <w:pPr>
              <w:spacing w:afterLines="40"/>
              <w:jc w:val="both"/>
              <w:rPr>
                <w:b/>
              </w:rPr>
            </w:pPr>
            <w:r w:rsidRPr="00A81AC0">
              <w:rPr>
                <w:b/>
              </w:rPr>
              <w:t>1.125.</w:t>
            </w:r>
            <w:r w:rsidR="005D462B" w:rsidRPr="00A81AC0">
              <w:rPr>
                <w:b/>
              </w:rPr>
              <w:t>5</w:t>
            </w:r>
            <w:r w:rsidRPr="00A81AC0">
              <w:rPr>
                <w:b/>
              </w:rPr>
              <w:t>00 zł</w:t>
            </w:r>
          </w:p>
        </w:tc>
        <w:tc>
          <w:tcPr>
            <w:tcW w:w="1417" w:type="dxa"/>
            <w:shd w:val="clear" w:color="auto" w:fill="0070C0"/>
          </w:tcPr>
          <w:p w:rsidR="00632CEB" w:rsidRPr="009C4EF5" w:rsidRDefault="00632CEB" w:rsidP="00F24A1D">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F24A1D">
            <w:pPr>
              <w:spacing w:afterLines="40"/>
              <w:rPr>
                <w:b/>
              </w:rPr>
            </w:pPr>
            <w:r w:rsidRPr="009C4EF5">
              <w:rPr>
                <w:b/>
              </w:rPr>
              <w:t>Koszty funkcjonowania LGD</w:t>
            </w:r>
          </w:p>
        </w:tc>
        <w:tc>
          <w:tcPr>
            <w:tcW w:w="4180" w:type="dxa"/>
            <w:gridSpan w:val="3"/>
            <w:shd w:val="clear" w:color="auto" w:fill="0070C0"/>
          </w:tcPr>
          <w:p w:rsidR="00632CEB" w:rsidRPr="009C4EF5" w:rsidRDefault="00632CEB" w:rsidP="00F24A1D">
            <w:pPr>
              <w:spacing w:afterLines="40"/>
              <w:jc w:val="both"/>
              <w:rPr>
                <w:b/>
              </w:rPr>
            </w:pPr>
          </w:p>
        </w:tc>
        <w:tc>
          <w:tcPr>
            <w:tcW w:w="1418" w:type="dxa"/>
            <w:shd w:val="clear" w:color="auto" w:fill="auto"/>
          </w:tcPr>
          <w:p w:rsidR="00632CEB" w:rsidRPr="00A81AC0" w:rsidRDefault="00632CEB" w:rsidP="00F24A1D">
            <w:pPr>
              <w:spacing w:afterLines="40"/>
              <w:jc w:val="both"/>
              <w:rPr>
                <w:b/>
              </w:rPr>
            </w:pPr>
            <w:r w:rsidRPr="00A81AC0">
              <w:rPr>
                <w:b/>
              </w:rPr>
              <w:t>1.12</w:t>
            </w:r>
            <w:r w:rsidR="005D462B" w:rsidRPr="00A81AC0">
              <w:rPr>
                <w:b/>
              </w:rPr>
              <w:t>4</w:t>
            </w:r>
            <w:r w:rsidRPr="00A81AC0">
              <w:rPr>
                <w:b/>
              </w:rPr>
              <w:t>.</w:t>
            </w:r>
            <w:r w:rsidR="005D462B" w:rsidRPr="00A81AC0">
              <w:rPr>
                <w:b/>
              </w:rPr>
              <w:t>5</w:t>
            </w:r>
            <w:r w:rsidRPr="00A81AC0">
              <w:rPr>
                <w:b/>
              </w:rPr>
              <w:t>00 zł</w:t>
            </w:r>
          </w:p>
        </w:tc>
        <w:tc>
          <w:tcPr>
            <w:tcW w:w="1417" w:type="dxa"/>
            <w:shd w:val="clear" w:color="auto" w:fill="0070C0"/>
          </w:tcPr>
          <w:p w:rsidR="00632CEB" w:rsidRPr="009C4EF5" w:rsidRDefault="00632CEB" w:rsidP="00F24A1D">
            <w:pPr>
              <w:spacing w:afterLines="40"/>
              <w:jc w:val="both"/>
              <w:rPr>
                <w:b/>
              </w:rPr>
            </w:pPr>
          </w:p>
        </w:tc>
      </w:tr>
    </w:tbl>
    <w:p w:rsidR="007A5E8E" w:rsidRPr="007A5E8E" w:rsidRDefault="007A5E8E" w:rsidP="00F24A1D">
      <w:pPr>
        <w:spacing w:afterLines="40" w:line="240" w:lineRule="auto"/>
        <w:jc w:val="both"/>
        <w:rPr>
          <w:i/>
          <w:sz w:val="20"/>
          <w:szCs w:val="20"/>
        </w:rPr>
      </w:pPr>
      <w:r w:rsidRPr="007A5E8E">
        <w:rPr>
          <w:i/>
          <w:sz w:val="20"/>
          <w:szCs w:val="20"/>
        </w:rPr>
        <w:t>Źródło: opracowanie własne</w:t>
      </w:r>
    </w:p>
    <w:p w:rsidR="00DA7D00" w:rsidRPr="007A5E8E" w:rsidRDefault="00632CEB" w:rsidP="00F24A1D">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F24A1D">
      <w:pPr>
        <w:spacing w:afterLines="40" w:line="240" w:lineRule="auto"/>
        <w:jc w:val="both"/>
        <w:rPr>
          <w:sz w:val="10"/>
          <w:szCs w:val="10"/>
        </w:rPr>
      </w:pPr>
    </w:p>
    <w:p w:rsidR="00DA7D00" w:rsidRPr="00203717" w:rsidRDefault="00203717" w:rsidP="00C078CB">
      <w:pPr>
        <w:pStyle w:val="Nagwek2"/>
      </w:pPr>
      <w:bookmarkStart w:id="64" w:name="_Toc438459067"/>
      <w:r w:rsidRPr="00203717">
        <w:t>Zgodność celów LSR z celami programów EFSI</w:t>
      </w:r>
      <w:bookmarkEnd w:id="64"/>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 xml:space="preserve">LSR odwołuje się wprost do lokalnych uwarunkowań i zasobów, uwzględnia kwestie związane z wykluczeniem społecznym i ubóstwem. Przeciwdziałanie wykluczeniu społecznemu jest realizowane poprzez zdiagnozowanie w LSR grup </w:t>
      </w:r>
      <w:proofErr w:type="spellStart"/>
      <w:r w:rsidR="00AC3FEC">
        <w:rPr>
          <w:rFonts w:cs="Times New Roman"/>
        </w:rPr>
        <w:t>defaworyzowanych</w:t>
      </w:r>
      <w:proofErr w:type="spellEnd"/>
      <w:r w:rsidR="00AC3FEC">
        <w:rPr>
          <w:rFonts w:cs="Times New Roman"/>
        </w:rPr>
        <w:t xml:space="preserve">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 xml:space="preserve">RPO </w:t>
      </w:r>
      <w:proofErr w:type="spellStart"/>
      <w:r w:rsidRPr="001E5E2B">
        <w:rPr>
          <w:rFonts w:cs="Times New Roman"/>
          <w:b/>
        </w:rPr>
        <w:t>WK-P</w:t>
      </w:r>
      <w:proofErr w:type="spellEnd"/>
      <w:r w:rsidRPr="001E5E2B">
        <w:rPr>
          <w:rFonts w:cs="Times New Roman"/>
          <w:b/>
        </w:rPr>
        <w:t xml:space="preserve">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C078CB">
      <w:pPr>
        <w:pStyle w:val="Nagwek2"/>
      </w:pPr>
      <w:bookmarkStart w:id="65" w:name="_Toc438459068"/>
      <w:r w:rsidRPr="00203717">
        <w:t>Specyfikacja wskaźników</w:t>
      </w:r>
      <w:bookmarkEnd w:id="65"/>
    </w:p>
    <w:p w:rsidR="00C80C59" w:rsidRPr="00C80C59" w:rsidRDefault="00C80C59" w:rsidP="00C078CB">
      <w:pPr>
        <w:pStyle w:val="Legenda"/>
        <w:keepNext/>
        <w:outlineLvl w:val="0"/>
        <w:rPr>
          <w:sz w:val="20"/>
          <w:szCs w:val="20"/>
        </w:rPr>
      </w:pPr>
      <w:bookmarkStart w:id="66" w:name="_Toc439086521"/>
      <w:r w:rsidRPr="00C80C59">
        <w:rPr>
          <w:sz w:val="20"/>
          <w:szCs w:val="20"/>
        </w:rPr>
        <w:t xml:space="preserve">Tabela </w:t>
      </w:r>
      <w:r w:rsidR="000621AC" w:rsidRPr="00C80C59">
        <w:rPr>
          <w:sz w:val="20"/>
          <w:szCs w:val="20"/>
        </w:rPr>
        <w:fldChar w:fldCharType="begin"/>
      </w:r>
      <w:r w:rsidRPr="00C80C59">
        <w:rPr>
          <w:sz w:val="20"/>
          <w:szCs w:val="20"/>
        </w:rPr>
        <w:instrText xml:space="preserve"> SEQ Tabela \* ARABIC </w:instrText>
      </w:r>
      <w:r w:rsidR="000621AC" w:rsidRPr="00C80C59">
        <w:rPr>
          <w:sz w:val="20"/>
          <w:szCs w:val="20"/>
        </w:rPr>
        <w:fldChar w:fldCharType="separate"/>
      </w:r>
      <w:r w:rsidR="00B621E4">
        <w:rPr>
          <w:noProof/>
          <w:sz w:val="20"/>
          <w:szCs w:val="20"/>
        </w:rPr>
        <w:t>37</w:t>
      </w:r>
      <w:r w:rsidR="000621AC" w:rsidRPr="00C80C59">
        <w:rPr>
          <w:sz w:val="20"/>
          <w:szCs w:val="20"/>
        </w:rPr>
        <w:fldChar w:fldCharType="end"/>
      </w:r>
      <w:r w:rsidRPr="00C80C59">
        <w:rPr>
          <w:sz w:val="20"/>
          <w:szCs w:val="20"/>
        </w:rPr>
        <w:t xml:space="preserve"> Specyfikacja wskaźników LSR</w:t>
      </w:r>
      <w:bookmarkEnd w:id="66"/>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Pr="00DA6853">
              <w:t xml:space="preserve"> </w:t>
            </w:r>
            <w:r w:rsidR="00790905" w:rsidRPr="00DA6853">
              <w:t xml:space="preserve">18 </w:t>
            </w:r>
            <w:r w:rsidRPr="00DA6853">
              <w:t>szt.</w:t>
            </w:r>
          </w:p>
          <w:p w:rsidR="00A57223" w:rsidRPr="00DA6853" w:rsidRDefault="00A57223" w:rsidP="00C0418D">
            <w:r w:rsidRPr="00DA6853">
              <w:t xml:space="preserve">Biorąc pod uwagę budżet </w:t>
            </w:r>
            <w:r w:rsidR="00697AF8" w:rsidRPr="00DA6853">
              <w:t xml:space="preserve">LSR </w:t>
            </w:r>
            <w:r w:rsidRPr="00DA6853">
              <w:t xml:space="preserve">oraz </w:t>
            </w:r>
            <w:r w:rsidR="00C0418D" w:rsidRPr="00DA6853">
              <w:t>przyjęty poziom wsparcia w</w:t>
            </w:r>
            <w:r w:rsidRPr="00DA6853">
              <w:t xml:space="preserve"> Przedsięwzięci</w:t>
            </w:r>
            <w:r w:rsidR="00C0418D" w:rsidRPr="00DA6853">
              <w:t>u</w:t>
            </w:r>
            <w:r w:rsidRPr="00DA6853">
              <w:t xml:space="preserve"> 1.1.1. założono utworzenie minimum  </w:t>
            </w:r>
            <w:r w:rsidR="00790905" w:rsidRPr="00DA6853">
              <w:t xml:space="preserve">18 </w:t>
            </w:r>
            <w:r w:rsidRPr="00DA6853">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00790905" w:rsidRPr="00DA6853">
              <w:t xml:space="preserve"> 12</w:t>
            </w:r>
            <w:r w:rsidRPr="00DA6853">
              <w:t xml:space="preserve"> szt.</w:t>
            </w:r>
          </w:p>
          <w:p w:rsidR="00A57223" w:rsidRPr="00DA6853" w:rsidRDefault="00697AF8" w:rsidP="00DA6853">
            <w:r w:rsidRPr="00DA6853">
              <w:t>Biorąc pod uwagę budżet LSR oraz wstępn</w:t>
            </w:r>
            <w:r w:rsidR="008E79FD" w:rsidRPr="00DA6853">
              <w:t>e zainteresowanie wnioskodawców</w:t>
            </w:r>
            <w:r w:rsidR="008E79FD" w:rsidRPr="00DA6853">
              <w:br/>
            </w:r>
            <w:r w:rsidRPr="00DA6853">
              <w:t>w</w:t>
            </w:r>
            <w:r w:rsidR="00A57223" w:rsidRPr="00DA6853">
              <w:t xml:space="preserve"> ramach realizacji Przedsięwzięcia 1.1.2. założono min.  </w:t>
            </w:r>
            <w:r w:rsidR="00790905" w:rsidRPr="00DA6853">
              <w:t xml:space="preserve">12 </w:t>
            </w:r>
            <w:r w:rsidR="00A57223" w:rsidRPr="00DA6853">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lastRenderedPageBreak/>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9C4EF5" w:rsidRDefault="00A96215" w:rsidP="00A96215">
            <w:r w:rsidRPr="009C4EF5">
              <w:t>Źródło pomiaru: ankieta monitorująca Wnioskodawcy</w:t>
            </w:r>
          </w:p>
          <w:p w:rsidR="00A96215" w:rsidRPr="00401E1A" w:rsidRDefault="0027247D" w:rsidP="00A96215">
            <w:r>
              <w:t xml:space="preserve">Stan </w:t>
            </w:r>
            <w:r w:rsidR="00F427CB">
              <w:t>początkowy/</w:t>
            </w:r>
            <w:r>
              <w:t xml:space="preserve">docelowy: </w:t>
            </w:r>
            <w:r w:rsidR="00F427CB" w:rsidRPr="00401E1A">
              <w:t>0 szt./</w:t>
            </w:r>
            <w:r w:rsidR="00A96215" w:rsidRPr="00401E1A">
              <w:t xml:space="preserve"> </w:t>
            </w:r>
            <w:r w:rsidR="00ED1BBB" w:rsidRPr="00401E1A">
              <w:t>4</w:t>
            </w:r>
            <w:r w:rsidR="00A96215" w:rsidRPr="00401E1A">
              <w:t>szt.</w:t>
            </w:r>
          </w:p>
          <w:p w:rsidR="00A57223" w:rsidRPr="009C4EF5" w:rsidRDefault="00A96215" w:rsidP="00B36C10">
            <w:r w:rsidRPr="00401E1A">
              <w:t>W ramach realizacji Przedsię</w:t>
            </w:r>
            <w:r w:rsidR="00B36C10" w:rsidRPr="00401E1A">
              <w:t>wzięcia 3.1.1 założono minimum</w:t>
            </w:r>
            <w:r w:rsidRPr="00401E1A">
              <w:t xml:space="preserve"> </w:t>
            </w:r>
            <w:r w:rsidR="00ED1BBB" w:rsidRPr="00401E1A">
              <w:t>4</w:t>
            </w:r>
            <w:r w:rsidR="00657B1B" w:rsidRPr="00401E1A">
              <w:t xml:space="preserve"> </w:t>
            </w:r>
            <w:r w:rsidR="00B36C10" w:rsidRPr="00401E1A">
              <w:t xml:space="preserve">operacje </w:t>
            </w:r>
            <w:r w:rsidR="00657B1B" w:rsidRPr="00401E1A">
              <w:t>polegając</w:t>
            </w:r>
            <w:r w:rsidR="00B36C10" w:rsidRPr="00401E1A">
              <w:t>e</w:t>
            </w:r>
            <w:r w:rsidR="00657B1B" w:rsidRPr="00401E1A">
              <w:t xml:space="preserve"> na budowie obiektów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7103EF" w:rsidRDefault="00124CBB" w:rsidP="007103EF">
            <w:pPr>
              <w:rPr>
                <w:rFonts w:eastAsia="Times New Roman" w:cs="Times New Roman"/>
                <w:lang w:eastAsia="pl-PL"/>
              </w:rPr>
            </w:pPr>
            <w:r w:rsidRPr="007103EF">
              <w:rPr>
                <w:rFonts w:eastAsia="Times New Roman" w:cs="Times New Roman"/>
                <w:lang w:eastAsia="pl-PL"/>
              </w:rPr>
              <w:t xml:space="preserve">Liczba podmiotów </w:t>
            </w:r>
            <w:r w:rsidR="006D6335" w:rsidRPr="007103EF">
              <w:rPr>
                <w:rFonts w:eastAsia="Times New Roman" w:cs="Times New Roman"/>
                <w:lang w:eastAsia="pl-PL"/>
              </w:rPr>
              <w:t>wspartych w ramach operacji obejmujących wyposażenie mające na celu szerzenie lokalnej kultury i dziedzictwa lokalnego</w:t>
            </w:r>
          </w:p>
        </w:tc>
        <w:tc>
          <w:tcPr>
            <w:tcW w:w="7401" w:type="dxa"/>
            <w:gridSpan w:val="2"/>
          </w:tcPr>
          <w:p w:rsidR="00124CBB" w:rsidRPr="007103EF" w:rsidRDefault="00124CBB" w:rsidP="00A96215">
            <w:r w:rsidRPr="007103EF">
              <w:t>Wskaźnik z listy PROW</w:t>
            </w:r>
          </w:p>
          <w:p w:rsidR="00124CBB" w:rsidRPr="007103EF" w:rsidRDefault="00124CBB" w:rsidP="00A96215">
            <w:r w:rsidRPr="007103EF">
              <w:t>Źródło pomiaru: ankieta monitorująca Wnioskodawcy</w:t>
            </w:r>
          </w:p>
          <w:p w:rsidR="00124CBB" w:rsidRPr="007103EF" w:rsidRDefault="00124CBB" w:rsidP="00A96215">
            <w:r w:rsidRPr="007103EF">
              <w:t>Stan początkowy/docelowy: 0 szt./7 szt.</w:t>
            </w:r>
          </w:p>
          <w:p w:rsidR="00124CBB" w:rsidRPr="007103EF" w:rsidRDefault="00124CBB" w:rsidP="007103EF">
            <w:r w:rsidRPr="007103EF">
              <w:t>W ramach realizacji Przedsięwzięcia 3.1.2 założono</w:t>
            </w:r>
            <w:r w:rsidR="00853356" w:rsidRPr="007103EF">
              <w:t>, że</w:t>
            </w:r>
            <w:r w:rsidRPr="007103EF">
              <w:t xml:space="preserve"> minimum 7 </w:t>
            </w:r>
            <w:r w:rsidR="00853356" w:rsidRPr="007103EF">
              <w:t>podmiotów uzyska wsparcie w ramach operacji obejmujących wyposażenie mające na celu szerzenie lokalnej kultury i dziedzictwa lokalnego</w:t>
            </w:r>
            <w:r w:rsidRPr="007103EF">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rsidRPr="009C4EF5">
              <w:t xml:space="preserve">Stan </w:t>
            </w:r>
            <w:r>
              <w:t>początkowy/</w:t>
            </w:r>
            <w:r w:rsidRPr="009C4EF5">
              <w:t xml:space="preserve">docelowy: </w:t>
            </w:r>
            <w:r>
              <w:t>0 szt./</w:t>
            </w:r>
            <w:r w:rsidRPr="009C4EF5">
              <w:t>2 szt.</w:t>
            </w:r>
          </w:p>
          <w:p w:rsidR="00124CBB" w:rsidRPr="009C4EF5" w:rsidRDefault="00124CBB" w:rsidP="00A96215">
            <w:r w:rsidRPr="009C4EF5">
              <w:t>W ramach realizacji Przedsięwzięcia 3.1.3 LGD zamierza zrealizować 2 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t>Stan początkowy/docelowy: 0 szt./9</w:t>
            </w:r>
            <w:r w:rsidRPr="009C4EF5">
              <w:t xml:space="preserve"> szt.</w:t>
            </w:r>
          </w:p>
          <w:p w:rsidR="00124CBB" w:rsidRPr="009C4EF5" w:rsidRDefault="00124CBB" w:rsidP="00144E0A">
            <w:r w:rsidRPr="009C4EF5">
              <w:t>W ramach realizacji Przedsięwzięcia 3.1.3 LGD zamierza zrealizować</w:t>
            </w:r>
            <w:r>
              <w:t xml:space="preserve"> 2</w:t>
            </w:r>
            <w:r w:rsidRPr="009C4EF5">
              <w:t xml:space="preserve"> projekt</w:t>
            </w:r>
            <w:r>
              <w:t>y</w:t>
            </w:r>
            <w:r w:rsidRPr="009C4EF5">
              <w:t xml:space="preserve"> współpracy, w który</w:t>
            </w:r>
            <w:r>
              <w:t>ch</w:t>
            </w:r>
            <w:r w:rsidRPr="009C4EF5">
              <w:t xml:space="preserve"> udział weźmie </w:t>
            </w:r>
            <w:r>
              <w:t>łącznie 9</w:t>
            </w:r>
            <w:r w:rsidRPr="009C4EF5">
              <w:t xml:space="preserve"> 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9C4EF5" w:rsidRDefault="00124CBB" w:rsidP="00B672F4">
            <w:r w:rsidRPr="009C4EF5">
              <w:t>Wskaźnik z listy PROW</w:t>
            </w:r>
          </w:p>
          <w:p w:rsidR="00124CBB" w:rsidRPr="009C4EF5" w:rsidRDefault="00124CBB" w:rsidP="00B672F4">
            <w:r w:rsidRPr="009C4EF5">
              <w:t>Źródło pomiaru: ankieta monitorująca Wnioskodawcy</w:t>
            </w:r>
          </w:p>
          <w:p w:rsidR="00124CBB" w:rsidRPr="009C4EF5" w:rsidRDefault="00124CBB" w:rsidP="00B672F4">
            <w:r>
              <w:t>Stan początkowy/docelowy: 0 szt./</w:t>
            </w:r>
            <w:r w:rsidRPr="009D3D2B">
              <w:t>8</w:t>
            </w:r>
            <w:r w:rsidRPr="00C8560C">
              <w:rPr>
                <w:color w:val="FF0000"/>
              </w:rPr>
              <w:t xml:space="preserve"> </w:t>
            </w:r>
            <w:r>
              <w:t xml:space="preserve"> </w:t>
            </w:r>
            <w:r w:rsidRPr="009C4EF5">
              <w:t>szt.</w:t>
            </w:r>
          </w:p>
          <w:p w:rsidR="00124CBB" w:rsidRPr="009C4EF5" w:rsidRDefault="00124CBB" w:rsidP="0087792A">
            <w:r w:rsidRPr="009C4EF5">
              <w:t xml:space="preserve">W ramach realizacji Przedsięwzięcia 3.2.1 założono minimum </w:t>
            </w:r>
            <w:r w:rsidRPr="009D3D2B">
              <w:t>8</w:t>
            </w:r>
            <w:r>
              <w:rPr>
                <w:color w:val="FF0000"/>
              </w:rPr>
              <w:t xml:space="preserve"> </w:t>
            </w:r>
            <w:r>
              <w:t>operacji,</w:t>
            </w:r>
            <w:r>
              <w:br/>
            </w:r>
            <w:r w:rsidRPr="009C4EF5">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lastRenderedPageBreak/>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9C4EF5" w:rsidRDefault="00124CBB" w:rsidP="00B672F4">
            <w:r w:rsidRPr="009C4EF5">
              <w:t>Wskaźnik uzupełniający, określający fizyczny wynik podjętych działań w zakresie infrastruktury drogowej</w:t>
            </w:r>
          </w:p>
          <w:p w:rsidR="00124CBB" w:rsidRPr="009C4EF5" w:rsidRDefault="00124CBB" w:rsidP="00B672F4">
            <w:r w:rsidRPr="009C4EF5">
              <w:t>Źródło pomiaru: ankieta monitorująca Wnioskodawcy</w:t>
            </w:r>
          </w:p>
          <w:p w:rsidR="00124CBB" w:rsidRPr="00616C36" w:rsidRDefault="00124CBB" w:rsidP="00B672F4">
            <w:r>
              <w:t>Stan początkowy/</w:t>
            </w:r>
            <w:r w:rsidRPr="00616C36">
              <w:t>docelowy: 0 km/</w:t>
            </w:r>
            <w:r w:rsidR="004646F1" w:rsidRPr="00616C36">
              <w:t xml:space="preserve"> 4,5 </w:t>
            </w:r>
            <w:r w:rsidRPr="00616C36">
              <w:t>km</w:t>
            </w:r>
          </w:p>
          <w:p w:rsidR="00124CBB" w:rsidRPr="009C4EF5" w:rsidRDefault="00124CBB" w:rsidP="00144E0A">
            <w:r w:rsidRPr="00616C36">
              <w:t xml:space="preserve">W ramach realizacji Przedsięwzięcia 3.2.1 założono minimum </w:t>
            </w:r>
            <w:r w:rsidR="004646F1" w:rsidRPr="00616C36">
              <w:t xml:space="preserve">4,5 </w:t>
            </w:r>
            <w:r w:rsidRPr="00616C36">
              <w:t>km wybudowanych/przebudowanych</w:t>
            </w:r>
            <w:r>
              <w:t xml:space="preserve"> dróg</w:t>
            </w:r>
            <w:r w:rsidRPr="009C4EF5">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obiektów infrastruktury zlokalizowanych na </w:t>
            </w:r>
            <w:proofErr w:type="spellStart"/>
            <w:r w:rsidRPr="009C4EF5">
              <w:rPr>
                <w:rFonts w:eastAsia="Times New Roman" w:cs="Times New Roman"/>
                <w:color w:val="000000"/>
                <w:lang w:eastAsia="pl-PL"/>
              </w:rPr>
              <w:t>rewitalizowanych</w:t>
            </w:r>
            <w:proofErr w:type="spellEnd"/>
            <w:r w:rsidRPr="009C4EF5">
              <w:rPr>
                <w:rFonts w:eastAsia="Times New Roman" w:cs="Times New Roman"/>
                <w:color w:val="000000"/>
                <w:lang w:eastAsia="pl-PL"/>
              </w:rPr>
              <w:t xml:space="preserve">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xml:space="preserve">, które będą przedmiotem inwestycji na obszarach </w:t>
            </w:r>
            <w:proofErr w:type="spellStart"/>
            <w:r w:rsidRPr="00616C36">
              <w:t>rewitalizowanych</w:t>
            </w:r>
            <w:proofErr w:type="spellEnd"/>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172D19" w:rsidRDefault="00124CBB" w:rsidP="000D3F37">
            <w:r w:rsidRPr="009C4EF5">
              <w:t xml:space="preserve">Stan </w:t>
            </w:r>
            <w:r w:rsidRPr="00172D19">
              <w:t>początkowy/docelowy: 0 km/</w:t>
            </w:r>
            <w:r w:rsidR="00A06A89" w:rsidRPr="00597876">
              <w:rPr>
                <w:strike/>
                <w:color w:val="FF0000"/>
              </w:rPr>
              <w:t>0,81</w:t>
            </w:r>
            <w:r w:rsidR="00A06A89" w:rsidRPr="00172D19">
              <w:t xml:space="preserve"> </w:t>
            </w:r>
            <w:r w:rsidR="00597876">
              <w:t xml:space="preserve"> </w:t>
            </w:r>
            <w:r w:rsidR="00597876">
              <w:rPr>
                <w:color w:val="FF0000"/>
              </w:rPr>
              <w:t xml:space="preserve">0,435 </w:t>
            </w:r>
            <w:r w:rsidRPr="00172D19">
              <w:t>km</w:t>
            </w:r>
          </w:p>
          <w:p w:rsidR="00124CBB" w:rsidRPr="009C4EF5" w:rsidRDefault="00124CBB" w:rsidP="00842842">
            <w:r w:rsidRPr="00172D19">
              <w:t xml:space="preserve">W ramach realizacji Przedsięwzięcia 3.2.2 założono wstępnie realizację projektów w zakresie przebudowy dróg gminnych o łącznej długości </w:t>
            </w:r>
            <w:r w:rsidR="00A06A89" w:rsidRPr="00597876">
              <w:rPr>
                <w:strike/>
                <w:color w:val="FF0000"/>
              </w:rPr>
              <w:t>0,81</w:t>
            </w:r>
            <w:r w:rsidR="00A06A89" w:rsidRPr="00172D19">
              <w:t xml:space="preserve"> </w:t>
            </w:r>
            <w:r w:rsidR="00597876">
              <w:t xml:space="preserve"> </w:t>
            </w:r>
            <w:r w:rsidR="00597876" w:rsidRPr="00597876">
              <w:rPr>
                <w:color w:val="FF0000"/>
              </w:rPr>
              <w:t>0,</w:t>
            </w:r>
            <w:r w:rsidR="00597876">
              <w:rPr>
                <w:color w:val="FF0000"/>
              </w:rPr>
              <w:t xml:space="preserve">435 </w:t>
            </w:r>
            <w:r w:rsidRPr="00172D19">
              <w:t xml:space="preserve">km </w:t>
            </w:r>
            <w:r w:rsidR="00A06A89" w:rsidRPr="00172D19">
              <w:t>(dane z LPR/GPR)</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9C4EF5" w:rsidRDefault="00124CBB" w:rsidP="0090059C">
            <w:r w:rsidRPr="009C4EF5">
              <w:t>Wskaźnik z listy PROW</w:t>
            </w:r>
          </w:p>
          <w:p w:rsidR="00124CBB" w:rsidRPr="004F7D3A" w:rsidRDefault="00124CBB" w:rsidP="0090059C">
            <w:r w:rsidRPr="009C4EF5">
              <w:t xml:space="preserve">Źródło pomiaru: ankieta </w:t>
            </w:r>
            <w:r w:rsidRPr="004F7D3A">
              <w:t>monitorująca Wnioskodawcy</w:t>
            </w:r>
          </w:p>
          <w:p w:rsidR="00124CBB" w:rsidRPr="004F7D3A" w:rsidRDefault="00124CBB" w:rsidP="0090059C">
            <w:r w:rsidRPr="004F7D3A">
              <w:t>Stan początkowy/docelowy: 0 szt./36 szt.</w:t>
            </w:r>
          </w:p>
          <w:p w:rsidR="00124CBB" w:rsidRPr="009C4EF5" w:rsidRDefault="00124CBB" w:rsidP="0090059C">
            <w:r w:rsidRPr="004F7D3A">
              <w:t>W ramach Przedsięwzięć 1.1.1 oraz 1.1.2 zrealizowane operacje powinny wygenerować co najmniej  36 nowych miejsc pracy (30 dofinansowane operacje). Kryteria dostępowe wymuszają stworzenie</w:t>
            </w:r>
            <w:r>
              <w:t xml:space="preserv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3 szt.</w:t>
            </w:r>
          </w:p>
          <w:p w:rsidR="00124CBB" w:rsidRPr="009C4EF5" w:rsidRDefault="00124CBB" w:rsidP="0090059C">
            <w:r w:rsidRPr="009C4EF5">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5 szt.</w:t>
            </w:r>
          </w:p>
          <w:p w:rsidR="00124CBB" w:rsidRPr="009C4EF5" w:rsidRDefault="00124CBB" w:rsidP="00B57473">
            <w:r w:rsidRPr="009C4EF5">
              <w:t xml:space="preserve">W ramach przedsięwzięcia 1.2.1 utworzony inkubator na terenie </w:t>
            </w:r>
            <w:r>
              <w:t xml:space="preserve">wiejskim będzie świadczył </w:t>
            </w:r>
            <w:r w:rsidRPr="009C4EF5">
              <w:t xml:space="preserve">usługi </w:t>
            </w:r>
            <w:r>
              <w:t>dla minimum</w:t>
            </w:r>
            <w:r w:rsidRPr="009C4EF5">
              <w:t xml:space="preserve">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D9042A" w:rsidRDefault="00124CBB" w:rsidP="0090059C">
            <w:r w:rsidRPr="009C4EF5">
              <w:t xml:space="preserve">Stan </w:t>
            </w:r>
            <w:r>
              <w:t>początkowy/</w:t>
            </w:r>
            <w:r w:rsidRPr="009C4EF5">
              <w:t xml:space="preserve">docelowy: </w:t>
            </w:r>
            <w:r>
              <w:t>0 osób</w:t>
            </w:r>
            <w:r w:rsidRPr="00126E4B">
              <w:t>/ 28 osób</w:t>
            </w:r>
          </w:p>
          <w:p w:rsidR="00124CBB" w:rsidRPr="009C4EF5" w:rsidRDefault="00124CBB" w:rsidP="00DC1239">
            <w:r>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t xml:space="preserve">W ramach przedsięwzięcia 2.1.1 zaplanowano realizację grantów, których celem będzie aktywizacja zawodowa osób zagrożonych ubóstwem i wykluczeniem społecznym. Minimalny poziom wskaźnika został określony przez Wytyczne RPO </w:t>
            </w:r>
            <w:r>
              <w:lastRenderedPageBreak/>
              <w:t xml:space="preserve">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osób zagrożonych ubóstwem lub wykluczeniem społecznym u których wzrosła aktywność społeczna</w:t>
            </w:r>
          </w:p>
        </w:tc>
        <w:tc>
          <w:tcPr>
            <w:tcW w:w="7401" w:type="dxa"/>
            <w:gridSpan w:val="2"/>
          </w:tcPr>
          <w:p w:rsidR="00124CBB" w:rsidRPr="009C4EF5" w:rsidRDefault="00124CBB" w:rsidP="0090059C">
            <w:r w:rsidRPr="009C4EF5">
              <w:t xml:space="preserve">Wskaźnik z listy RPO </w:t>
            </w:r>
            <w:proofErr w:type="spellStart"/>
            <w:r w:rsidRPr="009C4EF5">
              <w:t>WK-P</w:t>
            </w:r>
            <w:proofErr w:type="spellEnd"/>
          </w:p>
          <w:p w:rsidR="00124CBB" w:rsidRPr="009C4EF5" w:rsidRDefault="00124CBB" w:rsidP="0090059C">
            <w:r w:rsidRPr="009C4EF5">
              <w:t>Źródło pomiaru: ankieta monitorująca Wnioskodawcy</w:t>
            </w:r>
          </w:p>
          <w:p w:rsidR="00124CBB" w:rsidRPr="0077312F" w:rsidRDefault="00124CBB" w:rsidP="0090059C">
            <w:r w:rsidRPr="009C4EF5">
              <w:t xml:space="preserve">Stan </w:t>
            </w:r>
            <w:r>
              <w:t>początkowy/</w:t>
            </w:r>
            <w:r w:rsidRPr="0077312F">
              <w:t>docelowy: 0 osób/ 186 osób</w:t>
            </w:r>
          </w:p>
          <w:p w:rsidR="00124CBB" w:rsidRPr="009C4EF5" w:rsidRDefault="00124CBB" w:rsidP="002F1267">
            <w:r w:rsidRPr="0077312F">
              <w:t>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9E1309" w:rsidRDefault="00010BA3" w:rsidP="00010BA3">
            <w:r w:rsidRPr="009E1309">
              <w:t>Źródło pomiaru: ankieta monitorująca Wnioskodawcy</w:t>
            </w:r>
          </w:p>
          <w:p w:rsidR="00010BA3" w:rsidRPr="009E1309" w:rsidRDefault="00A74EF5" w:rsidP="00010BA3">
            <w:r w:rsidRPr="009E1309">
              <w:t xml:space="preserve">Stan początkowy / </w:t>
            </w:r>
            <w:r w:rsidR="00010BA3" w:rsidRPr="009E1309">
              <w:t>docelowy:</w:t>
            </w:r>
            <w:r w:rsidRPr="009E1309">
              <w:t xml:space="preserve"> 0 osób / </w:t>
            </w:r>
            <w:r w:rsidR="00010BA3" w:rsidRPr="009E1309">
              <w:t>2500 osób</w:t>
            </w:r>
          </w:p>
          <w:p w:rsidR="00010BA3" w:rsidRPr="009E1309" w:rsidRDefault="00010BA3" w:rsidP="007B662C">
            <w:r w:rsidRPr="009E1309">
              <w:t xml:space="preserve">W ramach przedsięwzięcia 3.1.1 założono realizację minimum </w:t>
            </w:r>
            <w:r w:rsidR="007B662C" w:rsidRPr="009E1309">
              <w:t>4</w:t>
            </w:r>
            <w:r w:rsidRPr="009E1309">
              <w:t xml:space="preserve"> operacji</w:t>
            </w:r>
            <w:r w:rsidR="000541AD" w:rsidRPr="009E1309">
              <w:t xml:space="preserve"> polegających na budowie nowej </w:t>
            </w:r>
            <w:r w:rsidRPr="009E1309">
              <w:t>infrastruktur</w:t>
            </w:r>
            <w:r w:rsidR="000541AD" w:rsidRPr="009E1309">
              <w:t>y turystycznej</w:t>
            </w:r>
            <w:r w:rsidRPr="009E1309">
              <w:t xml:space="preserve"> i rekreacyjn</w:t>
            </w:r>
            <w:r w:rsidR="000541AD" w:rsidRPr="009E1309">
              <w:t>ej</w:t>
            </w:r>
            <w:r w:rsidR="001E1986" w:rsidRPr="009E1309">
              <w:t>,</w:t>
            </w:r>
            <w:r w:rsidR="001E1986" w:rsidRPr="009E1309">
              <w:br/>
            </w:r>
            <w:r w:rsidRPr="009E1309">
              <w:t>z której skorzysta minimum 2500 osób.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DC399A" w:rsidRDefault="00124CBB" w:rsidP="00DC399A">
            <w:pPr>
              <w:rPr>
                <w:rFonts w:eastAsia="Times New Roman" w:cs="Times New Roman"/>
                <w:lang w:eastAsia="pl-PL"/>
              </w:rPr>
            </w:pPr>
            <w:r w:rsidRPr="00DC399A">
              <w:rPr>
                <w:rFonts w:eastAsia="Times New Roman" w:cs="Times New Roman"/>
                <w:lang w:eastAsia="pl-PL"/>
              </w:rPr>
              <w:t xml:space="preserve">Liczba osób, które skorzystały </w:t>
            </w:r>
            <w:r w:rsidR="0019756D" w:rsidRPr="00DC399A">
              <w:rPr>
                <w:rFonts w:eastAsia="Times New Roman" w:cs="Times New Roman"/>
                <w:lang w:eastAsia="pl-PL"/>
              </w:rPr>
              <w:t>z wyposażenia mającego na celu szerzenie lokalnej kultury i dziedzictwa lokalnego</w:t>
            </w:r>
          </w:p>
        </w:tc>
        <w:tc>
          <w:tcPr>
            <w:tcW w:w="7401" w:type="dxa"/>
            <w:gridSpan w:val="2"/>
          </w:tcPr>
          <w:p w:rsidR="00124CBB" w:rsidRPr="00DC399A" w:rsidRDefault="00124CBB" w:rsidP="009D19B8">
            <w:r w:rsidRPr="00DC399A">
              <w:t>Wskaźnik uzupełniający PROW</w:t>
            </w:r>
          </w:p>
          <w:p w:rsidR="00124CBB" w:rsidRPr="00DC399A" w:rsidRDefault="00124CBB" w:rsidP="009D19B8">
            <w:r w:rsidRPr="00DC399A">
              <w:t>Źródło pomiaru: ankieta monitorująca Wnioskodawcy</w:t>
            </w:r>
          </w:p>
          <w:p w:rsidR="00124CBB" w:rsidRPr="00DC399A" w:rsidRDefault="00124CBB" w:rsidP="009D19B8">
            <w:r w:rsidRPr="00DC399A">
              <w:t>Stan początkowy/docelowy: 0 osób/500 osób</w:t>
            </w:r>
          </w:p>
          <w:p w:rsidR="00124CBB" w:rsidRPr="00DC399A" w:rsidRDefault="00124CBB" w:rsidP="009D19B8">
            <w:r w:rsidRPr="00DC399A">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w tym oba 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w tym oba 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lastRenderedPageBreak/>
              <w:t>infrastruktury drogowej w zakresie włączenia społecznego</w:t>
            </w:r>
          </w:p>
        </w:tc>
        <w:tc>
          <w:tcPr>
            <w:tcW w:w="7401" w:type="dxa"/>
            <w:gridSpan w:val="2"/>
          </w:tcPr>
          <w:p w:rsidR="00124CBB" w:rsidRPr="009C4EF5" w:rsidRDefault="00124CBB" w:rsidP="0090059C">
            <w:r w:rsidRPr="009C4EF5">
              <w:lastRenderedPageBreak/>
              <w:t>Wskaźnik z listy PROW</w:t>
            </w:r>
          </w:p>
          <w:p w:rsidR="00124CBB" w:rsidRPr="009C4EF5" w:rsidRDefault="00124CBB" w:rsidP="0090059C">
            <w:r w:rsidRPr="009C4EF5">
              <w:t>Źródło pomiaru: ankieta monitorująca Wnioskodawcy</w:t>
            </w:r>
          </w:p>
          <w:p w:rsidR="00124CBB" w:rsidRDefault="00124CBB" w:rsidP="0090059C">
            <w:r w:rsidRPr="009C4EF5">
              <w:lastRenderedPageBreak/>
              <w:t xml:space="preserve">Stan </w:t>
            </w:r>
            <w:r>
              <w:t>początkowy/</w:t>
            </w:r>
            <w:r w:rsidRPr="009C4EF5">
              <w:t>docelowy:</w:t>
            </w:r>
            <w:r w:rsidR="008F62F3">
              <w:t xml:space="preserve"> 0 osób/4</w:t>
            </w:r>
            <w:r>
              <w:t>.000 osób</w:t>
            </w:r>
          </w:p>
          <w:p w:rsidR="00124CBB" w:rsidRPr="009C4EF5" w:rsidRDefault="00124CBB" w:rsidP="00D53FA0">
            <w:r w:rsidRPr="009C4EF5">
              <w:t>W ramach realizacji Przedsięwzięcia 3.</w:t>
            </w:r>
            <w:r>
              <w:t>2</w:t>
            </w:r>
            <w:r w:rsidRPr="009C4EF5">
              <w:t>.</w:t>
            </w:r>
            <w:r>
              <w:t>1</w:t>
            </w:r>
            <w:r w:rsidRPr="009C4EF5">
              <w:t xml:space="preserve"> założono minimum </w:t>
            </w:r>
            <w:r w:rsidRPr="006436DA">
              <w:t>8</w:t>
            </w:r>
            <w:r>
              <w:rPr>
                <w:color w:val="FF0000"/>
              </w:rPr>
              <w:t xml:space="preserve"> </w:t>
            </w:r>
            <w:r w:rsidRPr="009C4EF5">
              <w:t>operacji</w:t>
            </w:r>
            <w:r>
              <w:t xml:space="preserve"> w zakresie infrastruktury drogowej, z k</w:t>
            </w:r>
            <w:r w:rsidR="00443E37">
              <w:t>tórych bezpośrednio skorzysta 4</w:t>
            </w:r>
            <w:r>
              <w:t>000. Wartość wskaźnika</w:t>
            </w:r>
            <w:r w:rsidRPr="009C4EF5">
              <w:t xml:space="preserve">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lastRenderedPageBreak/>
              <w:t xml:space="preserve">Liczba osób korzystających ze </w:t>
            </w:r>
            <w:proofErr w:type="spellStart"/>
            <w:r w:rsidRPr="009C4EF5">
              <w:rPr>
                <w:rFonts w:eastAsia="Times New Roman" w:cs="Times New Roman"/>
                <w:color w:val="000000"/>
                <w:lang w:eastAsia="pl-PL"/>
              </w:rPr>
              <w:t>zrewitalizowanych</w:t>
            </w:r>
            <w:proofErr w:type="spellEnd"/>
            <w:r w:rsidRPr="009C4EF5">
              <w:rPr>
                <w:rFonts w:eastAsia="Times New Roman" w:cs="Times New Roman"/>
                <w:color w:val="000000"/>
                <w:lang w:eastAsia="pl-PL"/>
              </w:rPr>
              <w:t xml:space="preserve"> </w:t>
            </w:r>
            <w:proofErr w:type="spellStart"/>
            <w:r w:rsidRPr="009C4EF5">
              <w:rPr>
                <w:rFonts w:eastAsia="Times New Roman" w:cs="Times New Roman"/>
                <w:color w:val="000000"/>
                <w:lang w:eastAsia="pl-PL"/>
              </w:rPr>
              <w:t>obszarów</w:t>
            </w:r>
            <w:proofErr w:type="spellEnd"/>
          </w:p>
        </w:tc>
        <w:tc>
          <w:tcPr>
            <w:tcW w:w="7401" w:type="dxa"/>
            <w:gridSpan w:val="2"/>
            <w:tcBorders>
              <w:bottom w:val="single" w:sz="4" w:space="0" w:color="auto"/>
            </w:tcBorders>
          </w:tcPr>
          <w:p w:rsidR="00124CBB" w:rsidRPr="009C4EF5" w:rsidRDefault="00124CBB" w:rsidP="00CE47C9">
            <w:r w:rsidRPr="009C4EF5">
              <w:t xml:space="preserve">Wskaźnik z listy RPO </w:t>
            </w:r>
            <w:proofErr w:type="spellStart"/>
            <w:r w:rsidRPr="009C4EF5">
              <w:t>WK-P</w:t>
            </w:r>
            <w:proofErr w:type="spellEnd"/>
          </w:p>
          <w:p w:rsidR="00124CBB" w:rsidRPr="00764D85" w:rsidRDefault="00124CBB" w:rsidP="00CE47C9">
            <w:r w:rsidRPr="009C4EF5">
              <w:t xml:space="preserve">Źródło pomiaru: ankieta </w:t>
            </w:r>
            <w:r w:rsidRPr="00764D85">
              <w:t>monitorująca Wnioskodawcy</w:t>
            </w:r>
          </w:p>
          <w:p w:rsidR="00124CBB" w:rsidRPr="00764D85" w:rsidRDefault="00124CBB" w:rsidP="00CE47C9">
            <w:r w:rsidRPr="00764D85">
              <w:t>Stan początkowy/docelowy: 0 osób/</w:t>
            </w:r>
            <w:r w:rsidR="00D01586" w:rsidRPr="00764D85">
              <w:t xml:space="preserve">2200 </w:t>
            </w:r>
            <w:r w:rsidRPr="00764D85">
              <w:t>osób</w:t>
            </w:r>
          </w:p>
          <w:p w:rsidR="00124CBB" w:rsidRPr="009C4EF5" w:rsidRDefault="00124CBB" w:rsidP="00DA3026">
            <w:r w:rsidRPr="00764D85">
              <w:t xml:space="preserve">W ramach przedsięwzięcia 3.2.3 założono realizację minimum </w:t>
            </w:r>
            <w:r w:rsidR="00D01586" w:rsidRPr="00764D85">
              <w:t xml:space="preserve">13 </w:t>
            </w:r>
            <w:r w:rsidRPr="00764D85">
              <w:t xml:space="preserve">operacji w obiekty infrastruktury zlokalizowanych na obszarach zdegradowanych oraz przebudowę </w:t>
            </w:r>
            <w:r w:rsidR="00D01586" w:rsidRPr="00764D85">
              <w:t xml:space="preserve">0,81 </w:t>
            </w:r>
            <w:r w:rsidRPr="00764D85">
              <w:t xml:space="preserve">km dróg gminnych. Z wyniku tych projektów skorzysta minimum </w:t>
            </w:r>
            <w:r w:rsidR="00D01586" w:rsidRPr="00764D85">
              <w:t xml:space="preserve">2200 </w:t>
            </w:r>
            <w:r w:rsidRPr="00764D85">
              <w:t>osób. Wartość wskaźnika wynika z</w:t>
            </w:r>
            <w:r w:rsidR="00D01586" w:rsidRPr="00764D85">
              <w:t xml:space="preserve"> opracowanych LPR/GPR</w:t>
            </w:r>
            <w:r w:rsidR="00D01586">
              <w:rPr>
                <w:color w:val="FF0000"/>
              </w:rPr>
              <w:t xml:space="preserve"> </w:t>
            </w:r>
            <w:r w:rsidR="00DA3026">
              <w:t>.</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90059C">
            <w:r w:rsidRPr="009C4EF5">
              <w:t>Stan początkowy</w:t>
            </w:r>
            <w:r>
              <w:t>/docelowy</w:t>
            </w:r>
            <w:r w:rsidRPr="009C4EF5">
              <w:t>: 3.450 podmiotów</w:t>
            </w:r>
            <w:r>
              <w:t>/</w:t>
            </w:r>
            <w:r w:rsidRPr="009C4EF5">
              <w:t>3.465 podmiotów</w:t>
            </w:r>
          </w:p>
          <w:p w:rsidR="00124CBB" w:rsidRPr="009C4EF5" w:rsidRDefault="00124CBB" w:rsidP="00CE47C9">
            <w:r w:rsidRPr="009C4EF5">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xml:space="preserve"> 6.241 osób</w:t>
            </w:r>
            <w:r>
              <w:t>/</w:t>
            </w:r>
            <w:r w:rsidRPr="009C4EF5">
              <w:t>6.200 osób</w:t>
            </w:r>
          </w:p>
          <w:p w:rsidR="00124CBB" w:rsidRPr="009C4EF5" w:rsidRDefault="00124CBB" w:rsidP="004A6139">
            <w:r w:rsidRPr="009C4EF5">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24.003 osoby</w:t>
            </w:r>
            <w:r>
              <w:t>/</w:t>
            </w:r>
            <w:r w:rsidRPr="009C4EF5">
              <w:t>24.150 osób</w:t>
            </w:r>
          </w:p>
          <w:p w:rsidR="00124CBB" w:rsidRPr="009C4EF5" w:rsidRDefault="00124CBB" w:rsidP="004A6139">
            <w:r w:rsidRPr="009C4EF5">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345 szt.</w:t>
            </w:r>
            <w:r>
              <w:t>/</w:t>
            </w:r>
            <w:r w:rsidRPr="009C4EF5">
              <w:t>310 szt.</w:t>
            </w:r>
          </w:p>
          <w:p w:rsidR="00124CBB" w:rsidRPr="009C4EF5" w:rsidRDefault="00124CBB" w:rsidP="004A6139">
            <w:r w:rsidRPr="009C4EF5">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7" w:name="_Toc438459069"/>
      <w:r w:rsidRPr="00CE279F">
        <w:t>Sposób wyboru i oceny operacji oraz sposób ustanawiania kryteriów wyboru</w:t>
      </w:r>
      <w:bookmarkEnd w:id="67"/>
    </w:p>
    <w:p w:rsidR="00423D2A" w:rsidRDefault="00047E0A" w:rsidP="00C078CB">
      <w:pPr>
        <w:pStyle w:val="Nagwek2"/>
      </w:pPr>
      <w:bookmarkStart w:id="68" w:name="_Toc438459070"/>
      <w:r w:rsidRPr="00CE279F">
        <w:t>Formy wsparcia operacji w ramach LSR</w:t>
      </w:r>
      <w:bookmarkEnd w:id="68"/>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w:t>
      </w:r>
      <w:proofErr w:type="spellStart"/>
      <w:r>
        <w:t>grantobiorcom</w:t>
      </w:r>
      <w:proofErr w:type="spellEnd"/>
      <w:r>
        <w:t>),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C078CB">
      <w:pPr>
        <w:pStyle w:val="Nagwek2"/>
      </w:pPr>
      <w:bookmarkStart w:id="69" w:name="_Toc438459071"/>
      <w:r w:rsidRPr="00CE279F">
        <w:t>Cel tworzenia procedur</w:t>
      </w:r>
      <w:bookmarkEnd w:id="69"/>
    </w:p>
    <w:p w:rsidR="000A1410" w:rsidRDefault="007A1256" w:rsidP="007A1256">
      <w:pPr>
        <w:spacing w:after="0" w:line="240" w:lineRule="auto"/>
        <w:jc w:val="both"/>
      </w:pPr>
      <w:r>
        <w:t>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wskaźników, a tym samym wpływa na realizację założonych celów LSR.</w:t>
      </w:r>
      <w:r w:rsidR="00144E0A">
        <w:t xml:space="preserve"> Szczegółowy opis wdrożonych procedur oceny i wyboru operacji i </w:t>
      </w:r>
      <w:proofErr w:type="spellStart"/>
      <w:r w:rsidR="00144E0A">
        <w:t>grantobiorców</w:t>
      </w:r>
      <w:proofErr w:type="spellEnd"/>
      <w:r w:rsidR="00144E0A">
        <w:t xml:space="preserve">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C078CB">
      <w:pPr>
        <w:pStyle w:val="Nagwek2"/>
      </w:pPr>
      <w:bookmarkStart w:id="70" w:name="_Toc438459072"/>
      <w:r w:rsidRPr="00CE279F">
        <w:lastRenderedPageBreak/>
        <w:t>Zakres procedur</w:t>
      </w:r>
      <w:bookmarkEnd w:id="70"/>
    </w:p>
    <w:p w:rsidR="00047E0A" w:rsidRDefault="00047E0A" w:rsidP="00C078CB">
      <w:pPr>
        <w:pStyle w:val="Nagwek3"/>
      </w:pPr>
      <w:bookmarkStart w:id="71" w:name="_Toc438459073"/>
      <w:r w:rsidRPr="00CE279F">
        <w:t>Sposób oceny i wyboru projektów realizowanych przez beneficjentów innych niż LGD</w:t>
      </w:r>
      <w:bookmarkEnd w:id="71"/>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2" w:name="_Toc439086522"/>
      <w:r w:rsidRPr="005F2600">
        <w:rPr>
          <w:sz w:val="20"/>
          <w:szCs w:val="20"/>
        </w:rPr>
        <w:t xml:space="preserve">Tabela </w:t>
      </w:r>
      <w:r w:rsidR="000621AC" w:rsidRPr="005F2600">
        <w:rPr>
          <w:sz w:val="20"/>
          <w:szCs w:val="20"/>
        </w:rPr>
        <w:fldChar w:fldCharType="begin"/>
      </w:r>
      <w:r w:rsidRPr="005F2600">
        <w:rPr>
          <w:sz w:val="20"/>
          <w:szCs w:val="20"/>
        </w:rPr>
        <w:instrText xml:space="preserve"> SEQ Tabela \* ARABIC </w:instrText>
      </w:r>
      <w:r w:rsidR="000621AC" w:rsidRPr="005F2600">
        <w:rPr>
          <w:sz w:val="20"/>
          <w:szCs w:val="20"/>
        </w:rPr>
        <w:fldChar w:fldCharType="separate"/>
      </w:r>
      <w:r w:rsidR="00B621E4">
        <w:rPr>
          <w:noProof/>
          <w:sz w:val="20"/>
          <w:szCs w:val="20"/>
        </w:rPr>
        <w:t>38</w:t>
      </w:r>
      <w:r w:rsidR="000621AC" w:rsidRPr="005F2600">
        <w:rPr>
          <w:sz w:val="20"/>
          <w:szCs w:val="20"/>
        </w:rPr>
        <w:fldChar w:fldCharType="end"/>
      </w:r>
      <w:r w:rsidRPr="005F2600">
        <w:rPr>
          <w:sz w:val="20"/>
          <w:szCs w:val="20"/>
        </w:rPr>
        <w:t xml:space="preserve"> Procedura wyboru projektów do realizacji w ramach LSR</w:t>
      </w:r>
      <w:bookmarkEnd w:id="72"/>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lastRenderedPageBreak/>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lastRenderedPageBreak/>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 xml:space="preserve">wniesienia protestu, </w:t>
      </w:r>
      <w:proofErr w:type="spellStart"/>
      <w:r w:rsidR="00DF03F1" w:rsidRPr="00C24B63">
        <w:t>skan</w:t>
      </w:r>
      <w:proofErr w:type="spellEnd"/>
      <w:r w:rsidR="00DF03F1" w:rsidRPr="00C24B63">
        <w:t xml:space="preserve">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 xml:space="preserve">W takiej sytuacji </w:t>
      </w:r>
      <w:proofErr w:type="spellStart"/>
      <w:r w:rsidR="00C83855" w:rsidRPr="00C94847">
        <w:t>sk</w:t>
      </w:r>
      <w:r w:rsidR="00552DF7">
        <w:t>an</w:t>
      </w:r>
      <w:proofErr w:type="spellEnd"/>
      <w:r w:rsidR="00552DF7">
        <w:t xml:space="preserve">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90703C" w:rsidRPr="00840770" w:rsidRDefault="0007760F" w:rsidP="002A160A">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07760F" w:rsidRDefault="0007760F"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lastRenderedPageBreak/>
        <w:t>8</w:t>
      </w:r>
      <w:r w:rsidR="00100ABB" w:rsidRPr="00100ABB">
        <w:rPr>
          <w:b/>
        </w:rPr>
        <w:t>. Przekazanie wniosków do ZW</w:t>
      </w:r>
    </w:p>
    <w:p w:rsidR="00100ABB" w:rsidRPr="00AE5416" w:rsidRDefault="0081765B" w:rsidP="00100ABB">
      <w:pPr>
        <w:spacing w:after="60" w:line="240" w:lineRule="auto"/>
        <w:jc w:val="both"/>
      </w:pPr>
      <w:r w:rsidRPr="00AE5416">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3" w:name="_Toc438459074"/>
      <w:r>
        <w:t xml:space="preserve">Sposób oceny i wyboru </w:t>
      </w:r>
      <w:proofErr w:type="spellStart"/>
      <w:r w:rsidR="00047E0A" w:rsidRPr="00CE279F">
        <w:t>granto</w:t>
      </w:r>
      <w:bookmarkEnd w:id="73"/>
      <w:r>
        <w:t>biorców</w:t>
      </w:r>
      <w:proofErr w:type="spellEnd"/>
    </w:p>
    <w:p w:rsidR="000A7565" w:rsidRDefault="000A7565" w:rsidP="0001744D">
      <w:pPr>
        <w:spacing w:after="0" w:line="240" w:lineRule="auto"/>
        <w:jc w:val="both"/>
      </w:pPr>
      <w:r>
        <w:t xml:space="preserve">W rozdziale przedstawiono procedury związane z oceną i wyborem </w:t>
      </w:r>
      <w:proofErr w:type="spellStart"/>
      <w:r w:rsidR="0001744D">
        <w:t>grantobiorców</w:t>
      </w:r>
      <w:proofErr w:type="spellEnd"/>
      <w:r w:rsidR="0001744D">
        <w:t xml:space="preserve">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4" w:name="_Toc439086523"/>
      <w:r w:rsidR="00B46512" w:rsidRPr="00B46512">
        <w:rPr>
          <w:sz w:val="20"/>
          <w:szCs w:val="20"/>
        </w:rPr>
        <w:t xml:space="preserve">Tabela </w:t>
      </w:r>
      <w:r w:rsidR="000621AC" w:rsidRPr="00B46512">
        <w:rPr>
          <w:sz w:val="20"/>
          <w:szCs w:val="20"/>
        </w:rPr>
        <w:fldChar w:fldCharType="begin"/>
      </w:r>
      <w:r w:rsidR="00B46512" w:rsidRPr="00B46512">
        <w:rPr>
          <w:sz w:val="20"/>
          <w:szCs w:val="20"/>
        </w:rPr>
        <w:instrText xml:space="preserve"> SEQ Tabela \* ARABIC </w:instrText>
      </w:r>
      <w:r w:rsidR="000621AC" w:rsidRPr="00B46512">
        <w:rPr>
          <w:sz w:val="20"/>
          <w:szCs w:val="20"/>
        </w:rPr>
        <w:fldChar w:fldCharType="separate"/>
      </w:r>
      <w:r w:rsidR="00B621E4">
        <w:rPr>
          <w:noProof/>
          <w:sz w:val="20"/>
          <w:szCs w:val="20"/>
        </w:rPr>
        <w:t>39</w:t>
      </w:r>
      <w:r w:rsidR="000621AC" w:rsidRPr="00B46512">
        <w:rPr>
          <w:sz w:val="20"/>
          <w:szCs w:val="20"/>
        </w:rPr>
        <w:fldChar w:fldCharType="end"/>
      </w:r>
      <w:r w:rsidR="00B46512" w:rsidRPr="00B46512">
        <w:rPr>
          <w:sz w:val="20"/>
          <w:szCs w:val="20"/>
        </w:rPr>
        <w:t xml:space="preserve"> Procedura wyboru </w:t>
      </w:r>
      <w:proofErr w:type="spellStart"/>
      <w:r w:rsidR="0001744D">
        <w:rPr>
          <w:sz w:val="20"/>
          <w:szCs w:val="20"/>
        </w:rPr>
        <w:t>grantobiorców</w:t>
      </w:r>
      <w:proofErr w:type="spellEnd"/>
      <w:r w:rsidR="00B46512" w:rsidRPr="00B46512">
        <w:rPr>
          <w:sz w:val="20"/>
          <w:szCs w:val="20"/>
        </w:rPr>
        <w:t xml:space="preserve"> w ramach LSR</w:t>
      </w:r>
      <w:bookmarkEnd w:id="74"/>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proofErr w:type="spellStart"/>
            <w:r w:rsidR="0001744D">
              <w:rPr>
                <w:b/>
                <w:color w:val="FFFFFF" w:themeColor="background1"/>
              </w:rPr>
              <w:t>grantobiorców</w:t>
            </w:r>
            <w:proofErr w:type="spellEnd"/>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 xml:space="preserve">Procedury oceny i wyboru </w:t>
      </w:r>
      <w:proofErr w:type="spellStart"/>
      <w:r>
        <w:t>grantobiorców</w:t>
      </w:r>
      <w:proofErr w:type="spellEnd"/>
      <w:r>
        <w:t xml:space="preserve">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W przypadku pozytywnego wyniku wyboru projektu, LGD wskazuje w piśmie do Wnioskodawców, czy projekt mieści się w limicie alokacji środków wskazanej w ogłoszeniu o naborze wniosków. Pismo jest podpisane przez upoważnionego przedstawiciela LGD. W 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xml:space="preserve">, </w:t>
      </w:r>
      <w:proofErr w:type="spellStart"/>
      <w:r w:rsidR="00E374CA" w:rsidRPr="002A7CDD">
        <w:t>skan</w:t>
      </w:r>
      <w:proofErr w:type="spellEnd"/>
      <w:r w:rsidR="00E374CA" w:rsidRPr="002A7CDD">
        <w:t xml:space="preserve">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w:t>
      </w:r>
      <w:proofErr w:type="spellStart"/>
      <w:r w:rsidR="00E374CA" w:rsidRPr="002A7CDD">
        <w:t>skan</w:t>
      </w:r>
      <w:proofErr w:type="spellEnd"/>
      <w:r w:rsidR="00E374CA" w:rsidRPr="002A7CDD">
        <w:t xml:space="preserve"> </w:t>
      </w:r>
      <w:r w:rsidR="00A164F4" w:rsidRPr="002A7CDD">
        <w:t xml:space="preserve">pisma jest przekazywany pocztą 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lastRenderedPageBreak/>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 xml:space="preserve">Kontrola realizacji grantu może odbyć się zarówno w siedzibie </w:t>
      </w:r>
      <w:proofErr w:type="spellStart"/>
      <w:r>
        <w:rPr>
          <w:rFonts w:ascii="Calibri" w:eastAsia="Calibri" w:hAnsi="Calibri" w:cs="Times New Roman"/>
        </w:rPr>
        <w:t>Grantobiorcy</w:t>
      </w:r>
      <w:proofErr w:type="spellEnd"/>
      <w:r>
        <w:rPr>
          <w:rFonts w:ascii="Calibri" w:eastAsia="Calibri" w:hAnsi="Calibri" w:cs="Times New Roman"/>
        </w:rPr>
        <w:t xml:space="preserve">, jak i w miejscu realizacji grantu. Kontroli będzie podlegało: prawidłowość wykonania grantu przez </w:t>
      </w:r>
      <w:proofErr w:type="spellStart"/>
      <w:r>
        <w:rPr>
          <w:rFonts w:ascii="Calibri" w:eastAsia="Calibri" w:hAnsi="Calibri" w:cs="Times New Roman"/>
        </w:rPr>
        <w:t>Grantobiorcę</w:t>
      </w:r>
      <w:proofErr w:type="spellEnd"/>
      <w:r>
        <w:rPr>
          <w:rFonts w:ascii="Calibri" w:eastAsia="Calibri" w:hAnsi="Calibri" w:cs="Times New Roman"/>
        </w:rPr>
        <w:t>,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 xml:space="preserve">u każdego </w:t>
      </w:r>
      <w:proofErr w:type="spellStart"/>
      <w:r>
        <w:rPr>
          <w:rFonts w:ascii="Calibri" w:eastAsia="Calibri" w:hAnsi="Calibri" w:cs="Times New Roman"/>
        </w:rPr>
        <w:t>Grantobiorcy</w:t>
      </w:r>
      <w:proofErr w:type="spellEnd"/>
      <w:r>
        <w:rPr>
          <w:rFonts w:ascii="Calibri" w:eastAsia="Calibri" w:hAnsi="Calibri" w:cs="Times New Roman"/>
        </w:rPr>
        <w:t xml:space="preserve">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xml:space="preserve">– </w:t>
      </w:r>
      <w:proofErr w:type="spellStart"/>
      <w:r w:rsidRPr="008D60C1">
        <w:rPr>
          <w:rFonts w:ascii="Calibri" w:eastAsia="Calibri" w:hAnsi="Calibri" w:cs="Times New Roman"/>
        </w:rPr>
        <w:t>Grantobiorca</w:t>
      </w:r>
      <w:proofErr w:type="spellEnd"/>
      <w:r w:rsidRPr="008D60C1">
        <w:rPr>
          <w:rFonts w:ascii="Calibri" w:eastAsia="Calibri" w:hAnsi="Calibri" w:cs="Times New Roman"/>
        </w:rPr>
        <w:t xml:space="preserve">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 xml:space="preserve">siedzibie </w:t>
      </w:r>
      <w:proofErr w:type="spellStart"/>
      <w:r w:rsidRPr="008D60C1">
        <w:rPr>
          <w:rFonts w:ascii="Calibri" w:eastAsia="Calibri" w:hAnsi="Calibri" w:cs="Times New Roman"/>
        </w:rPr>
        <w:t>Grantobiorcy</w:t>
      </w:r>
      <w:proofErr w:type="spellEnd"/>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xml:space="preserve">, dokonania audytów i kontroli dokumentacji związanej z realizacją operacji oraz zastosowania zaleceń pokontrolnych lub </w:t>
      </w:r>
      <w:proofErr w:type="spellStart"/>
      <w:r w:rsidRPr="008D60C1">
        <w:rPr>
          <w:rFonts w:ascii="Calibri" w:eastAsia="Calibri" w:hAnsi="Calibri" w:cs="Times New Roman"/>
        </w:rPr>
        <w:t>poaudytowych</w:t>
      </w:r>
      <w:proofErr w:type="spellEnd"/>
      <w:r w:rsidRPr="008D60C1">
        <w:rPr>
          <w:rFonts w:ascii="Calibri" w:eastAsia="Calibri" w:hAnsi="Calibri" w:cs="Times New Roman"/>
        </w:rPr>
        <w:t xml:space="preserve"> lub audytów i kontroli w siedzibie </w:t>
      </w:r>
      <w:proofErr w:type="spellStart"/>
      <w:r w:rsidRPr="008D60C1">
        <w:rPr>
          <w:rFonts w:ascii="Calibri" w:eastAsia="Calibri" w:hAnsi="Calibri" w:cs="Times New Roman"/>
        </w:rPr>
        <w:t>Grantobiorcy</w:t>
      </w:r>
      <w:proofErr w:type="spellEnd"/>
      <w:r w:rsidRPr="008D60C1">
        <w:rPr>
          <w:rFonts w:ascii="Calibri" w:eastAsia="Calibri" w:hAnsi="Calibri" w:cs="Times New Roman"/>
        </w:rPr>
        <w:t>,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proofErr w:type="spellStart"/>
      <w:r w:rsidRPr="008D60C1">
        <w:rPr>
          <w:rFonts w:ascii="Calibri" w:hAnsi="Calibri"/>
          <w:sz w:val="22"/>
          <w:szCs w:val="22"/>
        </w:rPr>
        <w:t>Grantobiorca</w:t>
      </w:r>
      <w:proofErr w:type="spellEnd"/>
      <w:r w:rsidRPr="008D60C1">
        <w:rPr>
          <w:rFonts w:ascii="Calibri" w:hAnsi="Calibri"/>
          <w:sz w:val="22"/>
          <w:szCs w:val="22"/>
        </w:rPr>
        <w:t xml:space="preserve"> zobowiązuje się złożyć osobiście, przez pełnomocnika lub osobę reprezentującą </w:t>
      </w:r>
      <w:proofErr w:type="spellStart"/>
      <w:r w:rsidRPr="008D60C1">
        <w:rPr>
          <w:rFonts w:ascii="Calibri" w:hAnsi="Calibri"/>
          <w:sz w:val="22"/>
          <w:szCs w:val="22"/>
        </w:rPr>
        <w:t>Grantobiorcę</w:t>
      </w:r>
      <w:proofErr w:type="spellEnd"/>
      <w:r w:rsidRPr="008D60C1">
        <w:rPr>
          <w:rFonts w:ascii="Calibri" w:hAnsi="Calibri"/>
          <w:sz w:val="22"/>
          <w:szCs w:val="22"/>
        </w:rPr>
        <w:t>,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 xml:space="preserve">Do wniosku o rozliczenie grantu, </w:t>
      </w:r>
      <w:proofErr w:type="spellStart"/>
      <w:r w:rsidRPr="008D60C1">
        <w:rPr>
          <w:rFonts w:ascii="Calibri" w:hAnsi="Calibri"/>
          <w:sz w:val="22"/>
          <w:szCs w:val="22"/>
        </w:rPr>
        <w:t>Grantobiorca</w:t>
      </w:r>
      <w:proofErr w:type="spellEnd"/>
      <w:r w:rsidRPr="008D60C1">
        <w:rPr>
          <w:rFonts w:ascii="Calibri" w:hAnsi="Calibri"/>
          <w:sz w:val="22"/>
          <w:szCs w:val="22"/>
        </w:rPr>
        <w:t xml:space="preserve">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5" w:name="_Toc438459075"/>
      <w:r w:rsidRPr="00CE279F">
        <w:t>Kryteria wyboru projektów</w:t>
      </w:r>
      <w:bookmarkEnd w:id="75"/>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xml:space="preserve">, kulturowych, historycznych lub </w:t>
      </w:r>
      <w:r w:rsidR="00833240">
        <w:lastRenderedPageBreak/>
        <w:t>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w:t>
      </w:r>
      <w:proofErr w:type="spellStart"/>
      <w:r w:rsidRPr="0009419E">
        <w:t>defaworyzowanych</w:t>
      </w:r>
      <w:proofErr w:type="spellEnd"/>
      <w:r w:rsidR="00C14C63" w:rsidRPr="0009419E">
        <w:t xml:space="preserve">, co znajduje swoje uzasadnienie z wysokim poziomem bezrobocia, w tym w szczególności wśród grup </w:t>
      </w:r>
      <w:proofErr w:type="spellStart"/>
      <w:r w:rsidR="00C14C63" w:rsidRPr="0009419E">
        <w:t>defaworyzowanych</w:t>
      </w:r>
      <w:proofErr w:type="spellEnd"/>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 xml:space="preserve">co jest odpowiedzią na zdiagnozowaną bierność/niską aktywność oraz niewystarczającą/słabą aktywizację osób zagrożonych ubóstwem, wykluczeniem społecznym oraz innych grup </w:t>
      </w:r>
      <w:proofErr w:type="spellStart"/>
      <w:r w:rsidRPr="00D0610D">
        <w:t>defaworyzowanych</w:t>
      </w:r>
      <w:proofErr w:type="spellEnd"/>
      <w:r w:rsidRPr="00D0610D">
        <w:t>,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 xml:space="preserve">kryteria wyboru operacji i </w:t>
      </w:r>
      <w:proofErr w:type="spellStart"/>
      <w:r w:rsidRPr="00A9720B">
        <w:rPr>
          <w:b/>
        </w:rPr>
        <w:t>grantobiorców</w:t>
      </w:r>
      <w:proofErr w:type="spellEnd"/>
      <w:r w:rsidRPr="00A9720B">
        <w:rPr>
          <w:b/>
        </w:rPr>
        <w:t xml:space="preserve">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6" w:name="_Toc438459076"/>
      <w:r w:rsidRPr="00CE279F">
        <w:t>Procedury zmiany kryteriów wyboru projektów</w:t>
      </w:r>
      <w:bookmarkEnd w:id="76"/>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lastRenderedPageBreak/>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7" w:name="_Toc438459077"/>
      <w:r w:rsidRPr="00CE279F">
        <w:t>Plan działa</w:t>
      </w:r>
      <w:r w:rsidR="00060DE6">
        <w:t>nia</w:t>
      </w:r>
      <w:bookmarkEnd w:id="77"/>
    </w:p>
    <w:p w:rsidR="000A1410" w:rsidRDefault="00A35714" w:rsidP="00F24A1D">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F24A1D">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F24A1D">
      <w:pPr>
        <w:pStyle w:val="Lista"/>
        <w:spacing w:afterLines="60" w:line="240" w:lineRule="auto"/>
        <w:ind w:left="0" w:firstLine="0"/>
        <w:jc w:val="both"/>
        <w:rPr>
          <w:sz w:val="12"/>
          <w:szCs w:val="12"/>
        </w:rPr>
      </w:pPr>
    </w:p>
    <w:p w:rsidR="00F9448A" w:rsidRDefault="00F9448A" w:rsidP="00C078CB">
      <w:pPr>
        <w:pStyle w:val="Nagwek1"/>
      </w:pPr>
      <w:bookmarkStart w:id="78" w:name="_Toc438459078"/>
      <w:r w:rsidRPr="00CE279F">
        <w:t>Budżet LSR</w:t>
      </w:r>
      <w:bookmarkEnd w:id="78"/>
    </w:p>
    <w:p w:rsidR="000A1410" w:rsidRPr="007D24F4" w:rsidRDefault="00B7610F" w:rsidP="00F24A1D">
      <w:pPr>
        <w:pStyle w:val="Lista"/>
        <w:spacing w:afterLines="60" w:line="240" w:lineRule="auto"/>
        <w:ind w:left="0" w:firstLine="0"/>
        <w:jc w:val="both"/>
      </w:pPr>
      <w:r>
        <w:t xml:space="preserve">Budżet LSR został wyliczony w oparciu o Załącznik nr 6 do Regulaminu konkursu na wybór strategii rozwoju lokalnego </w:t>
      </w:r>
      <w:r w:rsidRPr="007D24F4">
        <w:t>kierowanego przez społeczność.</w:t>
      </w:r>
    </w:p>
    <w:p w:rsidR="00B7610F" w:rsidRPr="007D24F4" w:rsidRDefault="00B7610F" w:rsidP="00F24A1D">
      <w:pPr>
        <w:pStyle w:val="Lista"/>
        <w:spacing w:afterLines="60" w:line="240" w:lineRule="auto"/>
        <w:ind w:left="284" w:hanging="284"/>
        <w:jc w:val="both"/>
      </w:pPr>
      <w:r w:rsidRPr="007D24F4">
        <w:t xml:space="preserve">Wysokość środków przeznaczonych na realizację LSR wynosi </w:t>
      </w:r>
      <w:r w:rsidRPr="007D24F4">
        <w:rPr>
          <w:b/>
        </w:rPr>
        <w:t>1</w:t>
      </w:r>
      <w:r w:rsidR="0020698A" w:rsidRPr="007D24F4">
        <w:rPr>
          <w:b/>
        </w:rPr>
        <w:t>6</w:t>
      </w:r>
      <w:r w:rsidRPr="007D24F4">
        <w:rPr>
          <w:b/>
        </w:rPr>
        <w:t>.</w:t>
      </w:r>
      <w:r w:rsidR="0020698A" w:rsidRPr="007D24F4">
        <w:rPr>
          <w:b/>
        </w:rPr>
        <w:t>70</w:t>
      </w:r>
      <w:r w:rsidRPr="007D24F4">
        <w:rPr>
          <w:b/>
        </w:rPr>
        <w:t>0.000,00 zł</w:t>
      </w:r>
      <w:r w:rsidRPr="007D24F4">
        <w:t>, z czego:</w:t>
      </w:r>
    </w:p>
    <w:p w:rsidR="007B6988" w:rsidRPr="00953B0E" w:rsidRDefault="007B6988" w:rsidP="00F24A1D">
      <w:pPr>
        <w:pStyle w:val="Lista"/>
        <w:spacing w:afterLines="60" w:line="240" w:lineRule="auto"/>
        <w:ind w:left="284" w:hanging="284"/>
        <w:jc w:val="both"/>
        <w:rPr>
          <w:sz w:val="10"/>
          <w:szCs w:val="10"/>
        </w:rPr>
      </w:pPr>
    </w:p>
    <w:p w:rsidR="000A1410" w:rsidRPr="007D24F4" w:rsidRDefault="0020698A" w:rsidP="00F24A1D">
      <w:pPr>
        <w:pStyle w:val="Lista"/>
        <w:numPr>
          <w:ilvl w:val="0"/>
          <w:numId w:val="21"/>
        </w:numPr>
        <w:spacing w:afterLines="60" w:line="240" w:lineRule="auto"/>
        <w:jc w:val="both"/>
      </w:pPr>
      <w:r w:rsidRPr="007D24F4">
        <w:rPr>
          <w:b/>
        </w:rPr>
        <w:t>14.3</w:t>
      </w:r>
      <w:r w:rsidR="00A35714" w:rsidRPr="007D24F4">
        <w:rPr>
          <w:b/>
        </w:rPr>
        <w:t>60.000,00 zł</w:t>
      </w:r>
      <w:r w:rsidR="00A35714" w:rsidRPr="007D24F4">
        <w:t xml:space="preserve"> </w:t>
      </w:r>
      <w:r w:rsidR="00B7610F" w:rsidRPr="007D24F4">
        <w:t>dotyczy realizacji LSR</w:t>
      </w:r>
    </w:p>
    <w:p w:rsidR="00B7610F" w:rsidRPr="007D24F4" w:rsidRDefault="0020698A" w:rsidP="00F24A1D">
      <w:pPr>
        <w:pStyle w:val="Lista"/>
        <w:numPr>
          <w:ilvl w:val="0"/>
          <w:numId w:val="21"/>
        </w:numPr>
        <w:spacing w:afterLines="60" w:line="240" w:lineRule="auto"/>
        <w:jc w:val="both"/>
      </w:pPr>
      <w:r w:rsidRPr="007D24F4">
        <w:rPr>
          <w:b/>
        </w:rPr>
        <w:t>9</w:t>
      </w:r>
      <w:r w:rsidR="00A35714" w:rsidRPr="007D24F4">
        <w:rPr>
          <w:b/>
        </w:rPr>
        <w:t>0.000,00 zł</w:t>
      </w:r>
      <w:r w:rsidR="00A35714" w:rsidRPr="007D24F4">
        <w:t xml:space="preserve"> </w:t>
      </w:r>
      <w:r w:rsidR="00B7610F" w:rsidRPr="007D24F4">
        <w:t>dotyczy realizacji projektów współpracy</w:t>
      </w:r>
    </w:p>
    <w:p w:rsidR="00A35714" w:rsidRPr="00C5245C" w:rsidRDefault="00A35714" w:rsidP="00F24A1D">
      <w:pPr>
        <w:pStyle w:val="Lista"/>
        <w:numPr>
          <w:ilvl w:val="0"/>
          <w:numId w:val="21"/>
        </w:numPr>
        <w:spacing w:afterLines="60" w:line="240" w:lineRule="auto"/>
        <w:jc w:val="both"/>
      </w:pPr>
      <w:r w:rsidRPr="00C5245C">
        <w:rPr>
          <w:b/>
        </w:rPr>
        <w:t>1.12</w:t>
      </w:r>
      <w:r w:rsidR="006423B8" w:rsidRPr="00C5245C">
        <w:rPr>
          <w:b/>
        </w:rPr>
        <w:t>4</w:t>
      </w:r>
      <w:r w:rsidRPr="00C5245C">
        <w:rPr>
          <w:b/>
        </w:rPr>
        <w:t>.</w:t>
      </w:r>
      <w:r w:rsidR="006423B8" w:rsidRPr="00C5245C">
        <w:rPr>
          <w:b/>
        </w:rPr>
        <w:t>5</w:t>
      </w:r>
      <w:r w:rsidRPr="00C5245C">
        <w:rPr>
          <w:b/>
        </w:rPr>
        <w:t>00,00 zł</w:t>
      </w:r>
      <w:r w:rsidRPr="00C5245C">
        <w:t xml:space="preserve"> </w:t>
      </w:r>
      <w:r w:rsidR="00B7610F" w:rsidRPr="00C5245C">
        <w:t xml:space="preserve">dotyczy kosztów bieżących </w:t>
      </w:r>
    </w:p>
    <w:p w:rsidR="00B7610F" w:rsidRPr="007D24F4" w:rsidRDefault="00A35714" w:rsidP="00F24A1D">
      <w:pPr>
        <w:pStyle w:val="Lista"/>
        <w:numPr>
          <w:ilvl w:val="0"/>
          <w:numId w:val="21"/>
        </w:numPr>
        <w:spacing w:afterLines="60" w:line="240" w:lineRule="auto"/>
        <w:jc w:val="both"/>
      </w:pPr>
      <w:r w:rsidRPr="00C5245C">
        <w:rPr>
          <w:b/>
        </w:rPr>
        <w:t>1.125.</w:t>
      </w:r>
      <w:r w:rsidR="006423B8" w:rsidRPr="00C5245C">
        <w:rPr>
          <w:b/>
        </w:rPr>
        <w:t>5</w:t>
      </w:r>
      <w:r w:rsidRPr="00C5245C">
        <w:rPr>
          <w:b/>
        </w:rPr>
        <w:t>00,00 zł</w:t>
      </w:r>
      <w:r w:rsidRPr="00C5245C">
        <w:t xml:space="preserve"> dotyczy</w:t>
      </w:r>
      <w:r w:rsidRPr="007D24F4">
        <w:t xml:space="preserve"> kosztów</w:t>
      </w:r>
      <w:r w:rsidR="00B7610F" w:rsidRPr="007D24F4">
        <w:t xml:space="preserve"> aktywizacji</w:t>
      </w:r>
    </w:p>
    <w:p w:rsidR="001A3E75" w:rsidRPr="00953B0E" w:rsidRDefault="001A3E75" w:rsidP="00F24A1D">
      <w:pPr>
        <w:pStyle w:val="Lista"/>
        <w:spacing w:afterLines="60" w:line="240" w:lineRule="auto"/>
        <w:ind w:left="0" w:firstLine="0"/>
        <w:jc w:val="both"/>
        <w:rPr>
          <w:sz w:val="10"/>
          <w:szCs w:val="10"/>
        </w:rPr>
      </w:pPr>
    </w:p>
    <w:p w:rsidR="000A1410" w:rsidRDefault="00B7610F" w:rsidP="00F24A1D">
      <w:pPr>
        <w:pStyle w:val="Lista"/>
        <w:spacing w:afterLines="60" w:line="240" w:lineRule="auto"/>
        <w:ind w:left="0" w:firstLine="0"/>
        <w:jc w:val="both"/>
      </w:pPr>
      <w:r>
        <w:t xml:space="preserve">Szczegółowy budżet LSR wraz z Planem finansowym </w:t>
      </w:r>
      <w:proofErr w:type="spellStart"/>
      <w:r>
        <w:t>poddziałania</w:t>
      </w:r>
      <w:proofErr w:type="spellEnd"/>
      <w:r>
        <w:t xml:space="preserve"> 19.2 PROW 2014-2020 przedst</w:t>
      </w:r>
      <w:r w:rsidR="00A35714">
        <w:t>a</w:t>
      </w:r>
      <w:r w:rsidR="00DE5F8B">
        <w:t>wiono w </w:t>
      </w:r>
      <w:r w:rsidR="00DD4EA8" w:rsidRPr="00DD4EA8">
        <w:rPr>
          <w:b/>
        </w:rPr>
        <w:t>Z</w:t>
      </w:r>
      <w:r w:rsidRPr="00DD4EA8">
        <w:rPr>
          <w:b/>
        </w:rPr>
        <w:t>ałączniku nr 4</w:t>
      </w:r>
      <w:r>
        <w:t xml:space="preserve"> do LSR.</w:t>
      </w:r>
    </w:p>
    <w:p w:rsidR="008B64BA" w:rsidRPr="005F3925" w:rsidRDefault="008B64BA" w:rsidP="00F24A1D">
      <w:pPr>
        <w:pStyle w:val="Lista"/>
        <w:spacing w:afterLines="60" w:line="240" w:lineRule="auto"/>
        <w:ind w:left="0" w:firstLine="0"/>
        <w:jc w:val="both"/>
        <w:rPr>
          <w:sz w:val="10"/>
          <w:szCs w:val="10"/>
        </w:rPr>
      </w:pPr>
    </w:p>
    <w:p w:rsidR="00CE373D" w:rsidRPr="007D24F4" w:rsidRDefault="00CE373D" w:rsidP="00F24A1D">
      <w:pPr>
        <w:pStyle w:val="Lista"/>
        <w:spacing w:afterLines="60" w:line="240" w:lineRule="auto"/>
        <w:ind w:left="0" w:firstLine="0"/>
        <w:jc w:val="both"/>
      </w:pPr>
      <w:r w:rsidRPr="001347B9">
        <w:t xml:space="preserve">Na </w:t>
      </w:r>
      <w:r w:rsidRPr="007D24F4">
        <w:t xml:space="preserve">kwotę </w:t>
      </w:r>
      <w:r w:rsidRPr="007D24F4">
        <w:rPr>
          <w:b/>
        </w:rPr>
        <w:t>14.</w:t>
      </w:r>
      <w:r w:rsidR="00164AF8" w:rsidRPr="007D24F4">
        <w:rPr>
          <w:b/>
        </w:rPr>
        <w:t>3</w:t>
      </w:r>
      <w:r w:rsidRPr="007D24F4">
        <w:rPr>
          <w:b/>
        </w:rPr>
        <w:t>60.00</w:t>
      </w:r>
      <w:r w:rsidR="008B64BA" w:rsidRPr="007D24F4">
        <w:rPr>
          <w:b/>
        </w:rPr>
        <w:t>0,00</w:t>
      </w:r>
      <w:r w:rsidRPr="007D24F4">
        <w:rPr>
          <w:b/>
        </w:rPr>
        <w:t xml:space="preserve"> zł</w:t>
      </w:r>
      <w:r w:rsidRPr="007D24F4">
        <w:t xml:space="preserve"> dotyczącą realizacji LSR, składają się środki pochodzące z dwóch programów: Programu Rozwoju Obszarów Wiejskich na lata 2014-2020 (PROW 2014-2020) oraz Regionalnego Programu Operacyjnego Województwa Kujawsko-Pomorskiego na lata 2014-2020 (RPO </w:t>
      </w:r>
      <w:proofErr w:type="spellStart"/>
      <w:r w:rsidRPr="007D24F4">
        <w:t>WK-P</w:t>
      </w:r>
      <w:proofErr w:type="spellEnd"/>
      <w:r w:rsidRPr="007D24F4">
        <w:t xml:space="preserve"> 2014-2020) realizowanych w</w:t>
      </w:r>
      <w:r w:rsidR="00F40F7A" w:rsidRPr="007D24F4">
        <w:t> </w:t>
      </w:r>
      <w:r w:rsidRPr="007D24F4">
        <w:t>ramach trzech funduszy europejskich: Europejskiego Funduszu Rolnego na rzecz Rozwoju Obszarów Wiejskich, Europejskiego Funduszu Społecznego i Europejskiego Funduszu Rozwoju Regionalnego.</w:t>
      </w:r>
    </w:p>
    <w:p w:rsidR="007B6988" w:rsidRPr="005F3925" w:rsidRDefault="007B6988" w:rsidP="00F24A1D">
      <w:pPr>
        <w:pStyle w:val="Lista"/>
        <w:spacing w:afterLines="60" w:line="240" w:lineRule="auto"/>
        <w:ind w:left="0" w:firstLine="0"/>
        <w:jc w:val="both"/>
        <w:rPr>
          <w:sz w:val="10"/>
          <w:szCs w:val="10"/>
        </w:rPr>
      </w:pPr>
    </w:p>
    <w:p w:rsidR="00CE373D" w:rsidRPr="001347B9" w:rsidRDefault="00CE373D" w:rsidP="00F24A1D">
      <w:pPr>
        <w:pStyle w:val="Lista"/>
        <w:spacing w:afterLines="60" w:line="240" w:lineRule="auto"/>
        <w:ind w:left="0" w:firstLine="0"/>
        <w:jc w:val="both"/>
      </w:pPr>
      <w:r w:rsidRPr="007D24F4">
        <w:t xml:space="preserve">Kwota na realizację strategii pochodząca z PROW 2014-2020 w ramach </w:t>
      </w:r>
      <w:proofErr w:type="spellStart"/>
      <w:r w:rsidR="008B64BA" w:rsidRPr="007D24F4">
        <w:t>pod</w:t>
      </w:r>
      <w:r w:rsidRPr="007D24F4">
        <w:t>działania</w:t>
      </w:r>
      <w:proofErr w:type="spellEnd"/>
      <w:r w:rsidRPr="007D24F4">
        <w:t xml:space="preserve"> "Wsparcie na wdrażanie operacji w ramach strategii rozwoju lokalnego kierowanego przez społeczność" wynosi </w:t>
      </w:r>
      <w:r w:rsidR="00164AF8" w:rsidRPr="007D24F4">
        <w:rPr>
          <w:b/>
        </w:rPr>
        <w:t>5</w:t>
      </w:r>
      <w:r w:rsidRPr="007D24F4">
        <w:rPr>
          <w:b/>
        </w:rPr>
        <w:t>.</w:t>
      </w:r>
      <w:r w:rsidR="00164AF8" w:rsidRPr="007D24F4">
        <w:rPr>
          <w:b/>
        </w:rPr>
        <w:t>4</w:t>
      </w:r>
      <w:r w:rsidRPr="007D24F4">
        <w:rPr>
          <w:b/>
        </w:rPr>
        <w:t>00.000,00 zł</w:t>
      </w:r>
      <w:r w:rsidR="008B64BA" w:rsidRPr="007D24F4">
        <w:t xml:space="preserve">, natomiast w ramach </w:t>
      </w:r>
      <w:proofErr w:type="spellStart"/>
      <w:r w:rsidR="008B64BA" w:rsidRPr="007D24F4">
        <w:t>poddziałania</w:t>
      </w:r>
      <w:proofErr w:type="spellEnd"/>
      <w:r w:rsidR="008B64BA" w:rsidRPr="007D24F4">
        <w:t xml:space="preserve"> "Przygotowanie i realizacja działań w zakresie współpracy z lokalną grupą działania" wynosi </w:t>
      </w:r>
      <w:r w:rsidR="00CE7E2B" w:rsidRPr="007D24F4">
        <w:rPr>
          <w:b/>
        </w:rPr>
        <w:t>9</w:t>
      </w:r>
      <w:r w:rsidR="008B64BA" w:rsidRPr="007D24F4">
        <w:rPr>
          <w:b/>
        </w:rPr>
        <w:t>0.000,00 zł</w:t>
      </w:r>
      <w:r w:rsidR="008B64BA" w:rsidRPr="007D24F4">
        <w:t>. Zgodnie z wytycznymi PROW 2014-2020, na rozwój przedsiębiorczości i tworzenie miejsc pracy na obszarze LSR, zostanie przeznaczonych 50% środków</w:t>
      </w:r>
      <w:r w:rsidR="00262803" w:rsidRPr="007D24F4">
        <w:t xml:space="preserve"> z tytułu wdrażania strategii ze środków EFRROW</w:t>
      </w:r>
      <w:r w:rsidR="008B64BA" w:rsidRPr="007D24F4">
        <w:t xml:space="preserve">, czyli </w:t>
      </w:r>
      <w:r w:rsidR="00CE7E2B" w:rsidRPr="007D24F4">
        <w:rPr>
          <w:b/>
        </w:rPr>
        <w:t>2</w:t>
      </w:r>
      <w:r w:rsidR="008B64BA" w:rsidRPr="007D24F4">
        <w:rPr>
          <w:b/>
        </w:rPr>
        <w:t>.</w:t>
      </w:r>
      <w:r w:rsidR="00CE7E2B" w:rsidRPr="007D24F4">
        <w:rPr>
          <w:b/>
        </w:rPr>
        <w:t>7</w:t>
      </w:r>
      <w:r w:rsidR="008B64BA" w:rsidRPr="007D24F4">
        <w:rPr>
          <w:b/>
        </w:rPr>
        <w:t>00.000,00 zł</w:t>
      </w:r>
      <w:r w:rsidR="00262803" w:rsidRPr="007D24F4">
        <w:t xml:space="preserve"> (Cel ogólny 1/Cel strategiczny 1.1 Wsparcie tworzenia nowych przedsiębiorstw). Na budowę lub przebudowę ogólnodostępnej i niekomercyjnej infrastruktury turystycznej lub rekreacyjnej lub kulturalnej przeznaczone zostanie </w:t>
      </w:r>
      <w:r w:rsidR="00623BC3" w:rsidRPr="007D24F4">
        <w:rPr>
          <w:b/>
        </w:rPr>
        <w:t>1.092.860</w:t>
      </w:r>
      <w:r w:rsidR="00262803" w:rsidRPr="007D24F4">
        <w:rPr>
          <w:b/>
        </w:rPr>
        <w:t>,00 zł</w:t>
      </w:r>
      <w:r w:rsidR="006956DA" w:rsidRPr="007D24F4">
        <w:t xml:space="preserve">, natomiast kwota w wysokości </w:t>
      </w:r>
      <w:r w:rsidR="006956DA" w:rsidRPr="007D24F4">
        <w:rPr>
          <w:b/>
        </w:rPr>
        <w:t>150.000,00 zł</w:t>
      </w:r>
      <w:r w:rsidR="006956DA" w:rsidRPr="007D24F4">
        <w:t xml:space="preserve"> to środki przeznaczone na wsparcie działań w zakresie zachowania dziedzictwa lokalnego (Cel ogólny 3/Cel strategiczny 3.1 Wzmocnienie promocji i potencjału turystycznego obszaru LGD)</w:t>
      </w:r>
      <w:r w:rsidR="00262803" w:rsidRPr="007D24F4">
        <w:t xml:space="preserve">. </w:t>
      </w:r>
      <w:r w:rsidR="006956DA" w:rsidRPr="007D24F4">
        <w:t>K</w:t>
      </w:r>
      <w:r w:rsidR="00262803" w:rsidRPr="007D24F4">
        <w:t xml:space="preserve">wota </w:t>
      </w:r>
      <w:r w:rsidR="00623BC3" w:rsidRPr="007D24F4">
        <w:rPr>
          <w:b/>
        </w:rPr>
        <w:t>1.457.140</w:t>
      </w:r>
      <w:r w:rsidR="00262803" w:rsidRPr="007D24F4">
        <w:rPr>
          <w:b/>
        </w:rPr>
        <w:t>,00 zł</w:t>
      </w:r>
      <w:r w:rsidR="00262803" w:rsidRPr="007D24F4">
        <w:t xml:space="preserve"> to środki</w:t>
      </w:r>
      <w:r w:rsidR="00262803" w:rsidRPr="001347B9">
        <w:t xml:space="preserve"> zarezerwowane na inwestycje w infrastrukturę drogową gwarantującą spójność terytorialną w zakresie włączenia społecznego</w:t>
      </w:r>
      <w:r w:rsidR="006956DA" w:rsidRPr="001347B9">
        <w:t xml:space="preserve"> (Cel ogólny 3/Cel strategiczny 3.2 Wzmocnienie spójności lokalnej poprzez rewitalizację fizyczną)</w:t>
      </w:r>
      <w:r w:rsidR="00262803" w:rsidRPr="001347B9">
        <w:t>.</w:t>
      </w:r>
    </w:p>
    <w:p w:rsidR="007B6988" w:rsidRPr="005F3925" w:rsidRDefault="007B6988" w:rsidP="00F24A1D">
      <w:pPr>
        <w:pStyle w:val="Lista"/>
        <w:spacing w:afterLines="60" w:line="240" w:lineRule="auto"/>
        <w:ind w:left="0" w:firstLine="0"/>
        <w:jc w:val="both"/>
        <w:rPr>
          <w:sz w:val="10"/>
          <w:szCs w:val="10"/>
        </w:rPr>
      </w:pPr>
    </w:p>
    <w:p w:rsidR="00262803" w:rsidRPr="001347B9" w:rsidRDefault="00262803" w:rsidP="00F24A1D">
      <w:pPr>
        <w:pStyle w:val="Lista"/>
        <w:spacing w:afterLines="60" w:line="240" w:lineRule="auto"/>
        <w:ind w:left="0" w:firstLine="0"/>
        <w:jc w:val="both"/>
      </w:pPr>
      <w:r w:rsidRPr="001347B9">
        <w:t xml:space="preserve">W ramach RPO </w:t>
      </w:r>
      <w:proofErr w:type="spellStart"/>
      <w:r w:rsidRPr="001347B9">
        <w:t>WK-P</w:t>
      </w:r>
      <w:proofErr w:type="spellEnd"/>
      <w:r w:rsidRPr="001347B9">
        <w:t xml:space="preserve"> 2014-2020 na realizację LSR przeznaczono łączną kwotę </w:t>
      </w:r>
      <w:r w:rsidRPr="001347B9">
        <w:rPr>
          <w:b/>
        </w:rPr>
        <w:t>8.960.000,00 zł</w:t>
      </w:r>
      <w:r w:rsidR="006956DA" w:rsidRPr="001347B9">
        <w:t xml:space="preserve"> (</w:t>
      </w:r>
      <w:proofErr w:type="spellStart"/>
      <w:r w:rsidR="006956DA" w:rsidRPr="001347B9">
        <w:t>EFS+EFRR</w:t>
      </w:r>
      <w:proofErr w:type="spellEnd"/>
      <w:r w:rsidR="006956DA" w:rsidRPr="001347B9">
        <w:t xml:space="preserve">). Środki w ramach EFS zostaną przeznaczone na projekty grantowe z zakresu działania na rzecz osób zagrożonych ubóstwem lub wykluczeniem społecznym, w zakresie rozwiązań z obszaru aktywnej integracji o charakterze środowiskowym, działania wspierające rozwiązania w zakresie organizowania społeczności lokalnej i animacji społecznej (Cel ogólny 2/Cel strategiczny 2.1 Aktywizacja i integracja społeczności obszaru LGD). Na ten cel zarezerwowano środki w wysokości </w:t>
      </w:r>
      <w:r w:rsidR="006956DA" w:rsidRPr="001347B9">
        <w:rPr>
          <w:b/>
        </w:rPr>
        <w:t>2.560.000,00 zł</w:t>
      </w:r>
      <w:r w:rsidR="006956DA" w:rsidRPr="001347B9">
        <w:t xml:space="preserve">. Środki w ramach EFRR będą wykorzystane przede wszystkim </w:t>
      </w:r>
      <w:r w:rsidR="006956DA" w:rsidRPr="001347B9">
        <w:lastRenderedPageBreak/>
        <w:t>na działania infrastrukturalne przyczyni</w:t>
      </w:r>
      <w:r w:rsidR="00D64848" w:rsidRPr="001347B9">
        <w:t>ające się do rewitalizacji społe</w:t>
      </w:r>
      <w:r w:rsidR="006956DA" w:rsidRPr="001347B9">
        <w:t xml:space="preserve">czno-gospodarczej miejscowości wiejskich, </w:t>
      </w:r>
      <w:r w:rsidR="00D64848" w:rsidRPr="001347B9">
        <w:t xml:space="preserve">na które przeznaczono </w:t>
      </w:r>
      <w:r w:rsidR="00D64848" w:rsidRPr="00463B80">
        <w:t xml:space="preserve">kwotę </w:t>
      </w:r>
      <w:r w:rsidR="00874FCC" w:rsidRPr="00463B80">
        <w:rPr>
          <w:b/>
        </w:rPr>
        <w:t>5.25</w:t>
      </w:r>
      <w:r w:rsidR="00066240" w:rsidRPr="00463B80">
        <w:rPr>
          <w:b/>
        </w:rPr>
        <w:t>0.000,00 zł</w:t>
      </w:r>
      <w:r w:rsidR="00463B80" w:rsidRPr="00463B80">
        <w:rPr>
          <w:b/>
        </w:rPr>
        <w:t xml:space="preserve"> </w:t>
      </w:r>
      <w:r w:rsidR="00D64848" w:rsidRPr="00463B80">
        <w:t xml:space="preserve">(Cel ogólny 3/Cel strategiczny 3.2. Wzmocnienie spójności lokalnej poprzez rewitalizację fizyczną) oraz w ramach kwoty </w:t>
      </w:r>
      <w:r w:rsidR="00874FCC" w:rsidRPr="00463B80">
        <w:rPr>
          <w:b/>
        </w:rPr>
        <w:t>1.15</w:t>
      </w:r>
      <w:r w:rsidR="00066240" w:rsidRPr="00463B80">
        <w:rPr>
          <w:b/>
        </w:rPr>
        <w:t xml:space="preserve">0.000,00 zł </w:t>
      </w:r>
      <w:r w:rsidR="00D64848" w:rsidRPr="00463B80">
        <w:t>zaplanowano wsparcie tworzenia i rozwoju małych inkubatorów przedsiębiorczości poprzez dostosowanie istniejących</w:t>
      </w:r>
      <w:r w:rsidR="00D64848" w:rsidRPr="001347B9">
        <w:t xml:space="preserve"> budowli do pełnienia funkcji inkubatora i wsparcie usług świadczonych przez inkubator (Cel ogólny 1/Cel strategiczny 1.2. Wsparcie tworzenia i</w:t>
      </w:r>
      <w:r w:rsidR="00F40F7A" w:rsidRPr="001347B9">
        <w:t> </w:t>
      </w:r>
      <w:r w:rsidR="00D64848" w:rsidRPr="001347B9">
        <w:t>rozwoju małych inkubatorów przedsiębiorczości).</w:t>
      </w:r>
    </w:p>
    <w:p w:rsidR="007B6988" w:rsidRPr="005F3925" w:rsidRDefault="007B6988" w:rsidP="00F24A1D">
      <w:pPr>
        <w:pStyle w:val="Lista"/>
        <w:spacing w:afterLines="60" w:line="240" w:lineRule="auto"/>
        <w:ind w:left="0" w:firstLine="0"/>
        <w:jc w:val="both"/>
        <w:rPr>
          <w:sz w:val="10"/>
          <w:szCs w:val="10"/>
        </w:rPr>
      </w:pPr>
    </w:p>
    <w:p w:rsidR="00D64848" w:rsidRPr="001347B9" w:rsidRDefault="00D64848" w:rsidP="00F24A1D">
      <w:pPr>
        <w:pStyle w:val="Lista"/>
        <w:spacing w:afterLines="60" w:line="240" w:lineRule="auto"/>
        <w:ind w:left="0" w:firstLine="0"/>
        <w:jc w:val="both"/>
      </w:pPr>
      <w:r w:rsidRPr="001347B9">
        <w:t xml:space="preserve">W ramach budżetu zaplanowano również wydatki związane z działalnością animacyjną/aktywizacyjną i kosztami bieżącymi LGD, które w wysokości </w:t>
      </w:r>
      <w:r w:rsidRPr="001347B9">
        <w:rPr>
          <w:b/>
        </w:rPr>
        <w:t>2.250.000,00 zł</w:t>
      </w:r>
      <w:r w:rsidRPr="001347B9">
        <w:t xml:space="preserve">, będą wydatkowane w ramach Funduszu wiodącego wskazanego przez komisję wybierającą LSR. Wszelkie działania animacyjne </w:t>
      </w:r>
      <w:r w:rsidR="007B6988" w:rsidRPr="001347B9">
        <w:t>LGD przypisano do Celu strategicznego 2.1 Aktywizacja i integracja społeczności obszaru LGD.</w:t>
      </w:r>
    </w:p>
    <w:p w:rsidR="007B6988" w:rsidRPr="005F3925" w:rsidRDefault="007B6988" w:rsidP="00F24A1D">
      <w:pPr>
        <w:pStyle w:val="Lista"/>
        <w:spacing w:afterLines="60" w:line="240" w:lineRule="auto"/>
        <w:ind w:left="0" w:firstLine="0"/>
        <w:jc w:val="both"/>
        <w:rPr>
          <w:sz w:val="10"/>
          <w:szCs w:val="10"/>
        </w:rPr>
      </w:pPr>
    </w:p>
    <w:p w:rsidR="00D64848" w:rsidRPr="001347B9" w:rsidRDefault="007B6988" w:rsidP="00F24A1D">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F24A1D">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F24A1D">
      <w:pPr>
        <w:pStyle w:val="Lista"/>
        <w:spacing w:afterLines="60" w:line="240" w:lineRule="auto"/>
        <w:ind w:left="0" w:firstLine="0"/>
        <w:jc w:val="both"/>
        <w:rPr>
          <w:sz w:val="10"/>
          <w:szCs w:val="10"/>
        </w:rPr>
      </w:pPr>
    </w:p>
    <w:p w:rsidR="00935E16" w:rsidRDefault="00935E16" w:rsidP="00F24A1D">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9" w:name="_Toc438459079"/>
      <w:r w:rsidRPr="00CE279F">
        <w:t>Plan komunikacji</w:t>
      </w:r>
      <w:bookmarkEnd w:id="79"/>
    </w:p>
    <w:p w:rsidR="001663B8" w:rsidRDefault="001663B8" w:rsidP="00F24A1D">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F24A1D">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F24A1D">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F24A1D">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F24A1D">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F24A1D">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F24A1D">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F24A1D">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proofErr w:type="spellStart"/>
      <w:r w:rsidRPr="00522B9E">
        <w:rPr>
          <w:rFonts w:cs="Times New Roman"/>
        </w:rPr>
        <w:t>defaworyzowanych</w:t>
      </w:r>
      <w:proofErr w:type="spellEnd"/>
      <w:r w:rsidRPr="00522B9E">
        <w:rPr>
          <w:rFonts w:cs="Times New Roman"/>
        </w:rPr>
        <w:t xml:space="preserve">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F24A1D">
      <w:pPr>
        <w:pStyle w:val="Akapitzlist"/>
        <w:numPr>
          <w:ilvl w:val="0"/>
          <w:numId w:val="14"/>
        </w:numPr>
        <w:spacing w:afterLines="60" w:line="240" w:lineRule="auto"/>
        <w:jc w:val="both"/>
        <w:rPr>
          <w:rFonts w:cs="Times New Roman"/>
        </w:rPr>
      </w:pPr>
      <w:r>
        <w:rPr>
          <w:rFonts w:cs="Times New Roman"/>
        </w:rPr>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F24A1D">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EC2221" w:rsidRPr="00313E93" w:rsidRDefault="00EC2221" w:rsidP="00F24A1D">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AE5416" w:rsidRDefault="00AE5416" w:rsidP="00F24A1D">
      <w:pPr>
        <w:spacing w:afterLines="60" w:line="240" w:lineRule="auto"/>
        <w:jc w:val="both"/>
        <w:outlineLvl w:val="0"/>
        <w:rPr>
          <w:rFonts w:cs="Times New Roman"/>
          <w:b/>
        </w:rPr>
      </w:pPr>
    </w:p>
    <w:p w:rsidR="00AE5416" w:rsidRDefault="00AE5416" w:rsidP="00F24A1D">
      <w:pPr>
        <w:spacing w:afterLines="60" w:line="240" w:lineRule="auto"/>
        <w:jc w:val="both"/>
        <w:outlineLvl w:val="0"/>
        <w:rPr>
          <w:rFonts w:cs="Times New Roman"/>
          <w:b/>
        </w:rPr>
      </w:pPr>
    </w:p>
    <w:p w:rsidR="001663B8" w:rsidRPr="00B7610F" w:rsidRDefault="001663B8" w:rsidP="00F24A1D">
      <w:pPr>
        <w:spacing w:afterLines="60" w:line="240" w:lineRule="auto"/>
        <w:jc w:val="both"/>
        <w:outlineLvl w:val="0"/>
        <w:rPr>
          <w:rFonts w:cs="Times New Roman"/>
          <w:b/>
        </w:rPr>
      </w:pPr>
      <w:r w:rsidRPr="00B7610F">
        <w:rPr>
          <w:rFonts w:cs="Times New Roman"/>
          <w:b/>
        </w:rPr>
        <w:lastRenderedPageBreak/>
        <w:t>Działania komunikacyjne i środki przekazu</w:t>
      </w:r>
    </w:p>
    <w:p w:rsidR="001663B8" w:rsidRPr="00522B9E" w:rsidRDefault="001663B8" w:rsidP="00F24A1D">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F24A1D">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F24A1D">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F24A1D">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F24A1D">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F24A1D">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proofErr w:type="spellStart"/>
      <w:r>
        <w:rPr>
          <w:rFonts w:cs="Times New Roman"/>
        </w:rPr>
        <w:t>interesariuszy</w:t>
      </w:r>
      <w:proofErr w:type="spellEnd"/>
      <w:r>
        <w:rPr>
          <w:rFonts w:cs="Times New Roman"/>
        </w:rPr>
        <w:t xml:space="preserve">,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F24A1D">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F24A1D">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w:t>
      </w:r>
      <w:proofErr w:type="spellStart"/>
      <w:r>
        <w:rPr>
          <w:rFonts w:cs="Times New Roman"/>
        </w:rPr>
        <w:t>defaworyzowane</w:t>
      </w:r>
      <w:proofErr w:type="spellEnd"/>
      <w:r>
        <w:rPr>
          <w:rFonts w:cs="Times New Roman"/>
        </w:rPr>
        <w:t xml:space="preserv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F24A1D">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F24A1D">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F24A1D">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F24A1D">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proofErr w:type="spellStart"/>
      <w:r>
        <w:rPr>
          <w:rFonts w:cs="Times New Roman"/>
        </w:rPr>
        <w:t>on-line</w:t>
      </w:r>
      <w:proofErr w:type="spellEnd"/>
      <w:r>
        <w:rPr>
          <w:rFonts w:cs="Times New Roman"/>
        </w:rPr>
        <w:t xml:space="preserv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F24A1D">
      <w:pPr>
        <w:pStyle w:val="Akapitzlist"/>
        <w:spacing w:afterLines="60" w:line="240" w:lineRule="auto"/>
        <w:jc w:val="both"/>
        <w:rPr>
          <w:rFonts w:cs="Times New Roman"/>
          <w:sz w:val="14"/>
          <w:szCs w:val="14"/>
        </w:rPr>
      </w:pPr>
    </w:p>
    <w:p w:rsidR="001663B8" w:rsidRPr="00B7610F" w:rsidRDefault="001663B8" w:rsidP="00F24A1D">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F24A1D">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F24A1D">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F24A1D">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F24A1D">
      <w:pPr>
        <w:pStyle w:val="Akapitzlist"/>
        <w:spacing w:afterLines="60" w:line="240" w:lineRule="auto"/>
        <w:ind w:left="1560"/>
        <w:jc w:val="both"/>
        <w:rPr>
          <w:rFonts w:cs="Times New Roman"/>
          <w:sz w:val="14"/>
          <w:szCs w:val="14"/>
        </w:rPr>
      </w:pPr>
    </w:p>
    <w:p w:rsidR="001663B8" w:rsidRDefault="007A5569" w:rsidP="00F24A1D">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 xml:space="preserve">LGD przeprowadziło ankietę poprzez stronę </w:t>
      </w:r>
      <w:r w:rsidR="009067FE">
        <w:rPr>
          <w:rFonts w:cs="Times New Roman"/>
        </w:rPr>
        <w:lastRenderedPageBreak/>
        <w:t>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 xml:space="preserve">portale </w:t>
      </w:r>
      <w:proofErr w:type="spellStart"/>
      <w:r>
        <w:rPr>
          <w:rFonts w:cs="Times New Roman"/>
        </w:rPr>
        <w:t>społecznościowe</w:t>
      </w:r>
      <w:proofErr w:type="spellEnd"/>
      <w:r>
        <w:rPr>
          <w:rFonts w:cs="Times New Roman"/>
        </w:rPr>
        <w:t xml:space="preserve"> - 14,3%</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F24A1D">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F24A1D">
      <w:pPr>
        <w:pStyle w:val="Akapitzlist"/>
        <w:spacing w:afterLines="60" w:line="240" w:lineRule="auto"/>
        <w:ind w:left="0"/>
        <w:jc w:val="both"/>
        <w:rPr>
          <w:rFonts w:cs="Times New Roman"/>
          <w:sz w:val="14"/>
          <w:szCs w:val="14"/>
        </w:rPr>
      </w:pPr>
    </w:p>
    <w:p w:rsidR="001663B8" w:rsidRPr="005E5710" w:rsidRDefault="001663B8" w:rsidP="00F24A1D">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t>
      </w:r>
      <w:proofErr w:type="spellStart"/>
      <w:r w:rsidRPr="005E5710">
        <w:rPr>
          <w:rFonts w:cs="Times New Roman"/>
        </w:rPr>
        <w:t>www</w:t>
      </w:r>
      <w:proofErr w:type="spellEnd"/>
      <w:r w:rsidRPr="005E5710">
        <w:rPr>
          <w:rFonts w:cs="Times New Roman"/>
        </w:rPr>
        <w:t xml:space="preserve"> </w:t>
      </w:r>
      <w:r>
        <w:rPr>
          <w:rFonts w:cs="Times New Roman"/>
        </w:rPr>
        <w:t xml:space="preserve">i portale </w:t>
      </w:r>
      <w:proofErr w:type="spellStart"/>
      <w:r>
        <w:rPr>
          <w:rFonts w:cs="Times New Roman"/>
        </w:rPr>
        <w:t>społecznościowe</w:t>
      </w:r>
      <w:proofErr w:type="spellEnd"/>
      <w:r>
        <w:rPr>
          <w:rFonts w:cs="Times New Roman"/>
        </w:rPr>
        <w:t xml:space="preserv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F24A1D">
      <w:pPr>
        <w:pStyle w:val="Akapitzlist"/>
        <w:spacing w:afterLines="60" w:line="240" w:lineRule="auto"/>
        <w:ind w:left="0"/>
        <w:jc w:val="both"/>
        <w:rPr>
          <w:rFonts w:cs="Times New Roman"/>
          <w:b/>
          <w:sz w:val="10"/>
          <w:szCs w:val="10"/>
          <w:u w:val="single"/>
        </w:rPr>
      </w:pPr>
    </w:p>
    <w:p w:rsidR="001663B8" w:rsidRPr="00B7610F" w:rsidRDefault="001663B8" w:rsidP="00F24A1D">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F24A1D">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F24A1D">
      <w:pPr>
        <w:pStyle w:val="Akapitzlist"/>
        <w:spacing w:afterLines="60" w:line="240" w:lineRule="auto"/>
        <w:jc w:val="both"/>
        <w:rPr>
          <w:rFonts w:cs="Times New Roman"/>
          <w:sz w:val="10"/>
          <w:szCs w:val="10"/>
        </w:rPr>
      </w:pPr>
    </w:p>
    <w:p w:rsidR="001663B8" w:rsidRPr="00522B9E" w:rsidRDefault="001663B8" w:rsidP="00F24A1D">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 xml:space="preserve">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bezpośredniego kontaktu z Biurem Projektu oraz poprzez ankiety </w:t>
      </w:r>
      <w:proofErr w:type="spellStart"/>
      <w:r w:rsidRPr="00522B9E">
        <w:rPr>
          <w:rFonts w:cs="Times New Roman"/>
        </w:rPr>
        <w:t>on-line</w:t>
      </w:r>
      <w:proofErr w:type="spellEnd"/>
      <w:r w:rsidRPr="00522B9E">
        <w:rPr>
          <w:rFonts w:cs="Times New Roman"/>
        </w:rPr>
        <w:t xml:space="preserve"> lub wysyłane na adres e-mail Beneficjentów.</w:t>
      </w:r>
    </w:p>
    <w:p w:rsidR="001663B8" w:rsidRPr="00953B0E" w:rsidRDefault="001663B8" w:rsidP="00F24A1D">
      <w:pPr>
        <w:pStyle w:val="Akapitzlist"/>
        <w:spacing w:afterLines="60" w:line="240" w:lineRule="auto"/>
        <w:ind w:left="709"/>
        <w:jc w:val="both"/>
        <w:rPr>
          <w:rFonts w:cs="Times New Roman"/>
          <w:sz w:val="10"/>
          <w:szCs w:val="10"/>
        </w:rPr>
      </w:pPr>
    </w:p>
    <w:p w:rsidR="001663B8" w:rsidRPr="00522B9E" w:rsidRDefault="001663B8" w:rsidP="00F24A1D">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F24A1D">
      <w:pPr>
        <w:pStyle w:val="Akapitzlist"/>
        <w:spacing w:afterLines="60" w:line="240" w:lineRule="auto"/>
        <w:ind w:left="709"/>
        <w:jc w:val="both"/>
        <w:rPr>
          <w:rFonts w:cs="Times New Roman"/>
          <w:sz w:val="10"/>
          <w:szCs w:val="10"/>
        </w:rPr>
      </w:pPr>
    </w:p>
    <w:p w:rsidR="001663B8" w:rsidRPr="008622E7" w:rsidRDefault="001663B8" w:rsidP="00F24A1D">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F24A1D">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F24A1D">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 xml:space="preserve">grup </w:t>
      </w:r>
      <w:proofErr w:type="spellStart"/>
      <w:r w:rsidRPr="00522B9E">
        <w:rPr>
          <w:rFonts w:cs="Times New Roman"/>
          <w:b/>
        </w:rPr>
        <w:t>defaworyzowan</w:t>
      </w:r>
      <w:r>
        <w:rPr>
          <w:rFonts w:cs="Times New Roman"/>
          <w:b/>
        </w:rPr>
        <w:t>ych</w:t>
      </w:r>
      <w:proofErr w:type="spellEnd"/>
      <w:r>
        <w:rPr>
          <w:rFonts w:cs="Times New Roman"/>
          <w:b/>
        </w:rPr>
        <w:t xml:space="preserve"> i wykluczonych społecznie</w:t>
      </w:r>
    </w:p>
    <w:p w:rsidR="001663B8" w:rsidRPr="00522B9E" w:rsidRDefault="001663B8" w:rsidP="00F24A1D">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F24A1D">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F24A1D">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F24A1D">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F24A1D">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F24A1D">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F24A1D">
      <w:pPr>
        <w:pStyle w:val="Akapitzlist"/>
        <w:numPr>
          <w:ilvl w:val="2"/>
          <w:numId w:val="17"/>
        </w:numPr>
        <w:spacing w:afterLines="60" w:line="240" w:lineRule="auto"/>
        <w:ind w:left="993" w:hanging="317"/>
        <w:jc w:val="both"/>
        <w:rPr>
          <w:rFonts w:cs="Times New Roman"/>
        </w:rPr>
      </w:pPr>
      <w:r w:rsidRPr="00522B9E">
        <w:rPr>
          <w:rFonts w:cs="Times New Roman"/>
        </w:rPr>
        <w:lastRenderedPageBreak/>
        <w:t>instytucje otoczenia biznesu</w:t>
      </w:r>
    </w:p>
    <w:p w:rsidR="001663B8" w:rsidRPr="00953B0E" w:rsidRDefault="001663B8" w:rsidP="00F24A1D">
      <w:pPr>
        <w:pStyle w:val="Akapitzlist"/>
        <w:spacing w:afterLines="60" w:line="240" w:lineRule="auto"/>
        <w:ind w:left="709"/>
        <w:jc w:val="both"/>
        <w:rPr>
          <w:rFonts w:cs="Times New Roman"/>
          <w:sz w:val="10"/>
          <w:szCs w:val="10"/>
        </w:rPr>
      </w:pPr>
    </w:p>
    <w:p w:rsidR="001663B8" w:rsidRPr="00522B9E" w:rsidRDefault="001663B8" w:rsidP="00F24A1D">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 xml:space="preserve">grup </w:t>
      </w:r>
      <w:proofErr w:type="spellStart"/>
      <w:r w:rsidRPr="00522B9E">
        <w:rPr>
          <w:rFonts w:cs="Times New Roman"/>
          <w:b/>
        </w:rPr>
        <w:t>defaworyzowanych</w:t>
      </w:r>
      <w:proofErr w:type="spellEnd"/>
      <w:r w:rsidRPr="00522B9E">
        <w:rPr>
          <w:rFonts w:cs="Times New Roman"/>
        </w:rPr>
        <w:t xml:space="preserve"> na obszarze działania LGD zaliczymy:</w:t>
      </w:r>
    </w:p>
    <w:p w:rsidR="001663B8" w:rsidRDefault="001663B8" w:rsidP="00F24A1D">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F24A1D">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F24A1D">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F24A1D">
      <w:pPr>
        <w:pStyle w:val="Akapitzlist"/>
        <w:numPr>
          <w:ilvl w:val="0"/>
          <w:numId w:val="19"/>
        </w:numPr>
        <w:spacing w:afterLines="60" w:line="240" w:lineRule="auto"/>
        <w:ind w:left="993"/>
        <w:jc w:val="both"/>
        <w:rPr>
          <w:rFonts w:cs="Times New Roman"/>
        </w:rPr>
      </w:pPr>
      <w:r>
        <w:rPr>
          <w:rFonts w:cs="Times New Roman"/>
        </w:rPr>
        <w:t xml:space="preserve">bezrobotni poniżej 35 </w:t>
      </w:r>
      <w:proofErr w:type="spellStart"/>
      <w:r>
        <w:rPr>
          <w:rFonts w:cs="Times New Roman"/>
        </w:rPr>
        <w:t>r.ż</w:t>
      </w:r>
      <w:proofErr w:type="spellEnd"/>
      <w:r>
        <w:rPr>
          <w:rFonts w:cs="Times New Roman"/>
        </w:rPr>
        <w:t>.</w:t>
      </w:r>
    </w:p>
    <w:p w:rsidR="001663B8" w:rsidRDefault="001663B8" w:rsidP="00F24A1D">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F24A1D">
      <w:pPr>
        <w:pStyle w:val="Akapitzlist"/>
        <w:numPr>
          <w:ilvl w:val="0"/>
          <w:numId w:val="19"/>
        </w:numPr>
        <w:spacing w:afterLines="60" w:line="240" w:lineRule="auto"/>
        <w:ind w:left="993"/>
        <w:jc w:val="both"/>
        <w:rPr>
          <w:rFonts w:cs="Times New Roman"/>
        </w:rPr>
      </w:pPr>
      <w:r>
        <w:rPr>
          <w:rFonts w:cs="Times New Roman"/>
        </w:rPr>
        <w:t xml:space="preserve">osoby z </w:t>
      </w:r>
      <w:proofErr w:type="spellStart"/>
      <w:r>
        <w:rPr>
          <w:rFonts w:cs="Times New Roman"/>
        </w:rPr>
        <w:t>niepełnosprawnościami</w:t>
      </w:r>
      <w:proofErr w:type="spellEnd"/>
    </w:p>
    <w:p w:rsidR="001663B8" w:rsidRPr="00953B0E" w:rsidRDefault="001663B8" w:rsidP="00F24A1D">
      <w:pPr>
        <w:pStyle w:val="Akapitzlist"/>
        <w:spacing w:afterLines="60" w:line="240" w:lineRule="auto"/>
        <w:ind w:left="709"/>
        <w:jc w:val="both"/>
        <w:rPr>
          <w:rFonts w:cs="Times New Roman"/>
          <w:sz w:val="10"/>
          <w:szCs w:val="10"/>
        </w:rPr>
      </w:pPr>
    </w:p>
    <w:p w:rsidR="001663B8" w:rsidRPr="00522B9E" w:rsidRDefault="001663B8" w:rsidP="00F24A1D">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xml:space="preserve">, w którym kumulują się efekty komunikacyjne działań i zachowań wszystkich grup </w:t>
      </w:r>
      <w:proofErr w:type="spellStart"/>
      <w:r w:rsidRPr="00522B9E">
        <w:rPr>
          <w:rFonts w:cs="Times New Roman"/>
        </w:rPr>
        <w:t>interesariuszy</w:t>
      </w:r>
      <w:proofErr w:type="spellEnd"/>
      <w:r w:rsidRPr="00522B9E">
        <w:rPr>
          <w:rFonts w:cs="Times New Roman"/>
        </w:rPr>
        <w:t xml:space="preserve">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F24A1D">
      <w:pPr>
        <w:pStyle w:val="Akapitzlist"/>
        <w:spacing w:afterLines="60" w:line="240" w:lineRule="auto"/>
        <w:ind w:left="709"/>
        <w:jc w:val="both"/>
        <w:rPr>
          <w:rFonts w:cs="Times New Roman"/>
          <w:sz w:val="10"/>
          <w:szCs w:val="10"/>
        </w:rPr>
      </w:pPr>
    </w:p>
    <w:p w:rsidR="001663B8" w:rsidRPr="00B7610F" w:rsidRDefault="001663B8" w:rsidP="00F24A1D">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F24A1D">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 xml:space="preserve">badań ewaluacyjnych, które mają na celu ocenę skuteczności prowadzonych działań, w tym działań z zakresu komunikacji z </w:t>
      </w:r>
      <w:proofErr w:type="spellStart"/>
      <w:r w:rsidRPr="00522B9E">
        <w:rPr>
          <w:rFonts w:cs="Times New Roman"/>
        </w:rPr>
        <w:t>interesariuszami</w:t>
      </w:r>
      <w:proofErr w:type="spellEnd"/>
      <w:r w:rsidRPr="00522B9E">
        <w:rPr>
          <w:rFonts w:cs="Times New Roman"/>
        </w:rPr>
        <w:t xml:space="preserve"> LSR. W związku z tym LGD będzie publikowała na swojej stronie </w:t>
      </w:r>
      <w:proofErr w:type="spellStart"/>
      <w:r w:rsidRPr="00522B9E">
        <w:rPr>
          <w:rFonts w:cs="Times New Roman"/>
        </w:rPr>
        <w:t>www</w:t>
      </w:r>
      <w:proofErr w:type="spellEnd"/>
      <w:r w:rsidRPr="00522B9E">
        <w:rPr>
          <w:rFonts w:cs="Times New Roman"/>
        </w:rPr>
        <w:t xml:space="preserve">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F24A1D">
      <w:pPr>
        <w:pStyle w:val="Akapitzlist"/>
        <w:spacing w:afterLines="60" w:line="240" w:lineRule="auto"/>
        <w:ind w:left="0"/>
        <w:jc w:val="both"/>
        <w:outlineLvl w:val="0"/>
        <w:rPr>
          <w:rFonts w:cs="Times New Roman"/>
          <w:b/>
          <w:sz w:val="10"/>
          <w:szCs w:val="10"/>
        </w:rPr>
      </w:pPr>
    </w:p>
    <w:p w:rsidR="001663B8" w:rsidRPr="00B7610F" w:rsidRDefault="001663B8" w:rsidP="00F24A1D">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F24A1D">
      <w:pPr>
        <w:pStyle w:val="Akapitzlist"/>
        <w:spacing w:afterLines="60" w:line="240" w:lineRule="auto"/>
        <w:ind w:left="0"/>
        <w:jc w:val="both"/>
        <w:rPr>
          <w:rFonts w:cs="Times New Roman"/>
        </w:rPr>
      </w:pPr>
      <w:r w:rsidRPr="00522B9E">
        <w:rPr>
          <w:rFonts w:cs="Times New Roman"/>
        </w:rPr>
        <w:t xml:space="preserve">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w:t>
      </w:r>
      <w:proofErr w:type="spellStart"/>
      <w:r w:rsidRPr="00522B9E">
        <w:rPr>
          <w:rFonts w:cs="Times New Roman"/>
        </w:rPr>
        <w:t>on-line</w:t>
      </w:r>
      <w:proofErr w:type="spellEnd"/>
      <w:r w:rsidRPr="00522B9E">
        <w:rPr>
          <w:rFonts w:cs="Times New Roman"/>
        </w:rPr>
        <w:t>, ankiety tradycyjne</w:t>
      </w:r>
      <w:r>
        <w:rPr>
          <w:rFonts w:cs="Times New Roman"/>
        </w:rPr>
        <w:t xml:space="preserve"> zbierane podczas spotkań z </w:t>
      </w:r>
      <w:proofErr w:type="spellStart"/>
      <w:r>
        <w:rPr>
          <w:rFonts w:cs="Times New Roman"/>
        </w:rPr>
        <w:t>interesariuszami</w:t>
      </w:r>
      <w:proofErr w:type="spellEnd"/>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F24A1D">
      <w:pPr>
        <w:pStyle w:val="Akapitzlist"/>
        <w:spacing w:afterLines="60" w:line="240" w:lineRule="auto"/>
        <w:ind w:left="0"/>
        <w:jc w:val="both"/>
        <w:rPr>
          <w:rFonts w:cs="Times New Roman"/>
        </w:rPr>
      </w:pPr>
      <w:r w:rsidRPr="008622E7">
        <w:rPr>
          <w:rFonts w:cs="Times New Roman"/>
        </w:rPr>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w:t>
      </w:r>
      <w:proofErr w:type="spellStart"/>
      <w:r w:rsidRPr="00522B9E">
        <w:rPr>
          <w:rFonts w:cs="Times New Roman"/>
        </w:rPr>
        <w:t>społecznościowym</w:t>
      </w:r>
      <w:proofErr w:type="spellEnd"/>
      <w:r w:rsidRPr="00522B9E">
        <w:rPr>
          <w:rFonts w:cs="Times New Roman"/>
        </w:rPr>
        <w:t>.</w:t>
      </w:r>
    </w:p>
    <w:p w:rsidR="001663B8" w:rsidRPr="0057233A" w:rsidRDefault="001663B8" w:rsidP="00F24A1D">
      <w:pPr>
        <w:pStyle w:val="Akapitzlist"/>
        <w:spacing w:afterLines="60" w:line="240" w:lineRule="auto"/>
        <w:ind w:left="0"/>
        <w:jc w:val="both"/>
        <w:rPr>
          <w:rFonts w:cs="Times New Roman"/>
          <w:sz w:val="10"/>
          <w:szCs w:val="10"/>
        </w:rPr>
      </w:pPr>
    </w:p>
    <w:p w:rsidR="001663B8" w:rsidRPr="00B7610F" w:rsidRDefault="001663B8" w:rsidP="00F24A1D">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lastRenderedPageBreak/>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lastRenderedPageBreak/>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w:t>
            </w:r>
            <w:proofErr w:type="spellStart"/>
            <w:r w:rsidRPr="00C62E22">
              <w:rPr>
                <w:rFonts w:cs="Times New Roman"/>
              </w:rPr>
              <w:t>defaworyzowanych</w:t>
            </w:r>
            <w:proofErr w:type="spellEnd"/>
            <w:r w:rsidRPr="00C62E22">
              <w:rPr>
                <w:rFonts w:cs="Times New Roman"/>
              </w:rPr>
              <w:t xml:space="preserve">. </w:t>
            </w:r>
          </w:p>
          <w:p w:rsidR="00C62E22" w:rsidRPr="00C62E22" w:rsidRDefault="00C62E22" w:rsidP="002A160A">
            <w:pPr>
              <w:pStyle w:val="Akapitzlist"/>
              <w:numPr>
                <w:ilvl w:val="0"/>
                <w:numId w:val="92"/>
              </w:numPr>
              <w:jc w:val="both"/>
              <w:rPr>
                <w:rFonts w:cs="Times New Roman"/>
              </w:rPr>
            </w:pPr>
            <w:r w:rsidRPr="00C62E22">
              <w:rPr>
                <w:rFonts w:cs="Times New Roman"/>
              </w:rPr>
              <w:t xml:space="preserve">Bardziej ścisła współpraca z instytucjami i podmiotami mającymi bezpośredni kontakt z potencjalnymi wnioskodawcami - urzędy pracy i ośrodki pomocy społecznej, w przypadku przedstawicieli grup </w:t>
            </w:r>
            <w:proofErr w:type="spellStart"/>
            <w:r w:rsidRPr="00C62E22">
              <w:rPr>
                <w:rFonts w:cs="Times New Roman"/>
              </w:rPr>
              <w:t>defaworyzowanych</w:t>
            </w:r>
            <w:proofErr w:type="spellEnd"/>
            <w:r w:rsidRPr="00C62E22">
              <w:rPr>
                <w:rFonts w:cs="Times New Roman"/>
              </w:rPr>
              <w:t>.</w:t>
            </w:r>
          </w:p>
          <w:p w:rsidR="00C62E22" w:rsidRPr="00C62E22" w:rsidRDefault="00C62E22" w:rsidP="002A160A">
            <w:pPr>
              <w:pStyle w:val="Akapitzlist"/>
              <w:numPr>
                <w:ilvl w:val="0"/>
                <w:numId w:val="92"/>
              </w:numPr>
              <w:jc w:val="both"/>
              <w:rPr>
                <w:rFonts w:cs="Times New Roman"/>
              </w:rPr>
            </w:pPr>
            <w:r w:rsidRPr="00C62E22">
              <w:rPr>
                <w:rFonts w:cs="Times New Roman"/>
              </w:rPr>
              <w:lastRenderedPageBreak/>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lastRenderedPageBreak/>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80" w:name="_Toc438459080"/>
      <w:r w:rsidRPr="00CE279F">
        <w:t>Zintegrowanie</w:t>
      </w:r>
      <w:bookmarkEnd w:id="80"/>
    </w:p>
    <w:p w:rsidR="00B75C15" w:rsidRDefault="000D48F9" w:rsidP="00C078CB">
      <w:pPr>
        <w:pStyle w:val="Nagwek2"/>
      </w:pPr>
      <w:bookmarkStart w:id="81" w:name="_Toc438459081"/>
      <w:r w:rsidRPr="00CE279F">
        <w:t>Zgodność i komplementarność LSR z dokumentami planistycznymi i strategicznymi</w:t>
      </w:r>
      <w:bookmarkEnd w:id="81"/>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w:t>
      </w:r>
      <w:r w:rsidRPr="00DB77A4">
        <w:rPr>
          <w:rFonts w:cs="Times New Roman"/>
        </w:rPr>
        <w:lastRenderedPageBreak/>
        <w:t xml:space="preserve">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 xml:space="preserve">wykluczeniem społecznym i ubóstwem. Przeciwdziałanie wykluczeniu społecznemu jest realizowane poprzez zdiagnozowanie w LSR grup </w:t>
      </w:r>
      <w:proofErr w:type="spellStart"/>
      <w:r>
        <w:rPr>
          <w:rFonts w:cs="Times New Roman"/>
        </w:rPr>
        <w:t>defaworyzowanych</w:t>
      </w:r>
      <w:proofErr w:type="spellEnd"/>
      <w:r>
        <w:rPr>
          <w:rFonts w:cs="Times New Roman"/>
        </w:rPr>
        <w:t xml:space="preserve"> oraz zakresu wsparcia, które zostanie im przyznane w ramach LSR. Grupy </w:t>
      </w:r>
      <w:proofErr w:type="spellStart"/>
      <w:r>
        <w:rPr>
          <w:rFonts w:cs="Times New Roman"/>
        </w:rPr>
        <w:t>defaworyzowane</w:t>
      </w:r>
      <w:proofErr w:type="spellEnd"/>
      <w:r>
        <w:rPr>
          <w:rFonts w:cs="Times New Roman"/>
        </w:rPr>
        <w:t xml:space="preserv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w:t>
      </w:r>
      <w:proofErr w:type="spellStart"/>
      <w:r>
        <w:rPr>
          <w:rFonts w:cs="Times New Roman"/>
        </w:rPr>
        <w:t>defaworyzowanych</w:t>
      </w:r>
      <w:proofErr w:type="spellEnd"/>
      <w:r>
        <w:rPr>
          <w:rFonts w:cs="Times New Roman"/>
        </w:rPr>
        <w:t xml:space="preserve">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 xml:space="preserve">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w:t>
      </w:r>
      <w:r w:rsidRPr="00B07BDD">
        <w:rPr>
          <w:rFonts w:cs="Times New Roman"/>
        </w:rPr>
        <w:lastRenderedPageBreak/>
        <w:t>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w:t>
      </w:r>
      <w:proofErr w:type="spellStart"/>
      <w:r w:rsidR="001663B8" w:rsidRPr="00DB77A4">
        <w:rPr>
          <w:rFonts w:cs="Times New Roman"/>
        </w:rPr>
        <w:t>usieciowienie</w:t>
      </w:r>
      <w:proofErr w:type="spellEnd"/>
      <w:r w:rsidR="001663B8" w:rsidRPr="00DB77A4">
        <w:rPr>
          <w:rFonts w:cs="Times New Roman"/>
        </w:rPr>
        <w:t xml:space="preserv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t>
      </w:r>
      <w:proofErr w:type="spellStart"/>
      <w:r>
        <w:rPr>
          <w:rFonts w:cs="Times New Roman"/>
        </w:rPr>
        <w:t>WK-P</w:t>
      </w:r>
      <w:proofErr w:type="spellEnd"/>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w:t>
      </w:r>
      <w:proofErr w:type="spellStart"/>
      <w:r>
        <w:rPr>
          <w:rFonts w:cs="Times New Roman"/>
          <w:b/>
        </w:rPr>
        <w:t>B-TOF</w:t>
      </w:r>
      <w:proofErr w:type="spellEnd"/>
      <w:r>
        <w:rPr>
          <w:rFonts w:cs="Times New Roman"/>
          <w:b/>
        </w:rPr>
        <w:t>)</w:t>
      </w:r>
    </w:p>
    <w:p w:rsidR="001663B8"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65750B" w:rsidRDefault="0065750B" w:rsidP="001663B8">
      <w:pPr>
        <w:spacing w:after="60" w:line="240" w:lineRule="auto"/>
        <w:jc w:val="both"/>
        <w:rPr>
          <w:rFonts w:cs="Times New Roman"/>
          <w:sz w:val="10"/>
          <w:szCs w:val="10"/>
        </w:rPr>
      </w:pPr>
    </w:p>
    <w:p w:rsidR="006A4963" w:rsidRDefault="006A4963" w:rsidP="001663B8">
      <w:pPr>
        <w:spacing w:after="60" w:line="240" w:lineRule="auto"/>
        <w:jc w:val="both"/>
        <w:rPr>
          <w:rFonts w:cs="Times New Roman"/>
          <w:sz w:val="10"/>
          <w:szCs w:val="10"/>
        </w:rPr>
      </w:pPr>
    </w:p>
    <w:p w:rsidR="006A4963" w:rsidRPr="0057233A" w:rsidRDefault="006A4963" w:rsidP="001663B8">
      <w:pPr>
        <w:spacing w:after="60" w:line="240" w:lineRule="auto"/>
        <w:jc w:val="both"/>
        <w:rPr>
          <w:rFonts w:cs="Times New Roman"/>
          <w:sz w:val="10"/>
          <w:szCs w:val="10"/>
        </w:rPr>
      </w:pP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lastRenderedPageBreak/>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 xml:space="preserve">intensyfikacji działalności turystycznych, różnego rodzaju, w tym turystyki pobytowej, krajoznawczej, specjalistycznej, przy wydłużaniu sezonu turystycznego, szczególne </w:t>
      </w:r>
      <w:r>
        <w:rPr>
          <w:rFonts w:cs="Times New Roman"/>
        </w:rPr>
        <w:lastRenderedPageBreak/>
        <w:t>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 xml:space="preserve">PZP </w:t>
      </w:r>
      <w:proofErr w:type="spellStart"/>
      <w:r w:rsidRPr="00DB77A4">
        <w:rPr>
          <w:rFonts w:cs="Times New Roman"/>
        </w:rPr>
        <w:t>WK-P</w:t>
      </w:r>
      <w:proofErr w:type="spellEnd"/>
      <w:r w:rsidRPr="00DB77A4">
        <w:rPr>
          <w:rFonts w:cs="Times New Roman"/>
        </w:rPr>
        <w:t xml:space="preserve">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t>
      </w:r>
      <w:proofErr w:type="spellStart"/>
      <w:r w:rsidRPr="00DB77A4">
        <w:rPr>
          <w:rFonts w:cs="Times New Roman"/>
        </w:rPr>
        <w:t>WK-P</w:t>
      </w:r>
      <w:proofErr w:type="spellEnd"/>
      <w:r w:rsidRPr="00DB77A4">
        <w:rPr>
          <w:rFonts w:cs="Times New Roman"/>
        </w:rPr>
        <w:t>,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 xml:space="preserve">Celem głównym RPO </w:t>
      </w:r>
      <w:proofErr w:type="spellStart"/>
      <w:r w:rsidRPr="00DB77A4">
        <w:rPr>
          <w:rFonts w:cs="Times New Roman"/>
        </w:rPr>
        <w:t>WK-P</w:t>
      </w:r>
      <w:proofErr w:type="spellEnd"/>
      <w:r w:rsidRPr="00DB77A4">
        <w:rPr>
          <w:rFonts w:cs="Times New Roman"/>
        </w:rPr>
        <w:t xml:space="preserve">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2"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2"/>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 xml:space="preserve">Priorytet 3: Podjąć działania na rzecz </w:t>
            </w:r>
            <w:proofErr w:type="spellStart"/>
            <w:r w:rsidRPr="001663B8">
              <w:rPr>
                <w:rFonts w:cs="Times New Roman"/>
              </w:rPr>
              <w:t>rozwoju</w:t>
            </w:r>
            <w:proofErr w:type="spellEnd"/>
            <w:r w:rsidRPr="001663B8">
              <w:rPr>
                <w:rFonts w:cs="Times New Roman"/>
              </w:rPr>
              <w:t xml:space="preserve"> infrastruktury </w:t>
            </w:r>
            <w:proofErr w:type="spellStart"/>
            <w:r w:rsidRPr="001663B8">
              <w:rPr>
                <w:rFonts w:cs="Times New Roman"/>
              </w:rPr>
              <w:t>okołobiznesowej</w:t>
            </w:r>
            <w:proofErr w:type="spellEnd"/>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lastRenderedPageBreak/>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 xml:space="preserve">Priorytet 1: Stworzyć warunki </w:t>
            </w:r>
            <w:r w:rsidRPr="001663B8">
              <w:rPr>
                <w:rFonts w:cs="Times New Roman"/>
              </w:rPr>
              <w:lastRenderedPageBreak/>
              <w:t>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w:t>
            </w:r>
            <w:proofErr w:type="spellStart"/>
            <w:r w:rsidRPr="001663B8">
              <w:rPr>
                <w:rFonts w:cs="Times New Roman"/>
              </w:rPr>
              <w:t>samozatrudnienia</w:t>
            </w:r>
            <w:proofErr w:type="spellEnd"/>
            <w:r w:rsidRPr="001663B8">
              <w:rPr>
                <w:rFonts w:cs="Times New Roman"/>
              </w:rPr>
              <w:t xml:space="preserve">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Lokalny </w:t>
            </w:r>
            <w:r w:rsidRPr="001663B8">
              <w:rPr>
                <w:rFonts w:cs="Times New Roman"/>
                <w:b/>
              </w:rPr>
              <w:lastRenderedPageBreak/>
              <w:t>Program Rewitalizacji na lata 2009-2015 Gmina Miasto Golub-Dobrzyń</w:t>
            </w:r>
          </w:p>
        </w:tc>
        <w:tc>
          <w:tcPr>
            <w:tcW w:w="2410" w:type="dxa"/>
          </w:tcPr>
          <w:p w:rsidR="001663B8" w:rsidRPr="001663B8" w:rsidRDefault="00263968" w:rsidP="001663B8">
            <w:pPr>
              <w:rPr>
                <w:rFonts w:cs="Times New Roman"/>
              </w:rPr>
            </w:pPr>
            <w:r>
              <w:rPr>
                <w:rFonts w:cs="Times New Roman"/>
              </w:rPr>
              <w:lastRenderedPageBreak/>
              <w:t>Brak odniesień</w:t>
            </w:r>
            <w:r>
              <w:rPr>
                <w:rFonts w:cs="Times New Roman"/>
              </w:rPr>
              <w:br/>
            </w:r>
            <w:r w:rsidR="001663B8" w:rsidRPr="001663B8">
              <w:rPr>
                <w:rFonts w:cs="Times New Roman"/>
              </w:rPr>
              <w:lastRenderedPageBreak/>
              <w:t>w Strategii</w:t>
            </w:r>
          </w:p>
        </w:tc>
        <w:tc>
          <w:tcPr>
            <w:tcW w:w="2977" w:type="dxa"/>
          </w:tcPr>
          <w:p w:rsidR="001663B8" w:rsidRPr="001663B8" w:rsidRDefault="001663B8" w:rsidP="001663B8">
            <w:pPr>
              <w:rPr>
                <w:rFonts w:cs="Times New Roman"/>
              </w:rPr>
            </w:pPr>
            <w:r w:rsidRPr="001663B8">
              <w:rPr>
                <w:rFonts w:cs="Times New Roman"/>
                <w:u w:val="single"/>
              </w:rPr>
              <w:lastRenderedPageBreak/>
              <w:t>Cel 2</w:t>
            </w:r>
            <w:r w:rsidR="00AE5519">
              <w:rPr>
                <w:rFonts w:cs="Times New Roman"/>
              </w:rPr>
              <w:t xml:space="preserve"> Przeciwdziałanie </w:t>
            </w:r>
            <w:r w:rsidR="00AE5519">
              <w:rPr>
                <w:rFonts w:cs="Times New Roman"/>
              </w:rPr>
              <w:lastRenderedPageBreak/>
              <w:t>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lastRenderedPageBreak/>
              <w:t>Cel 1</w:t>
            </w:r>
            <w:r w:rsidRPr="001663B8">
              <w:rPr>
                <w:rFonts w:cs="Times New Roman"/>
              </w:rPr>
              <w:t xml:space="preserve"> Poprawa stanu </w:t>
            </w:r>
            <w:r w:rsidRPr="001663B8">
              <w:rPr>
                <w:rFonts w:cs="Times New Roman"/>
              </w:rPr>
              <w:lastRenderedPageBreak/>
              <w:t>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 xml:space="preserve">Sfera infrastruktury </w:t>
            </w:r>
            <w:proofErr w:type="spellStart"/>
            <w:r w:rsidRPr="001663B8">
              <w:rPr>
                <w:rFonts w:cs="Times New Roman"/>
                <w:u w:val="single"/>
              </w:rPr>
              <w:t>tech</w:t>
            </w:r>
            <w:proofErr w:type="spellEnd"/>
            <w:r w:rsidRPr="001663B8">
              <w:rPr>
                <w:rFonts w:cs="Times New Roman"/>
                <w:u w:val="single"/>
              </w:rPr>
              <w:t>.:</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Program 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t>Strategia Rozwoju Miasta i </w:t>
            </w:r>
            <w:r w:rsidR="001663B8" w:rsidRPr="001663B8">
              <w:rPr>
                <w:rFonts w:cs="Times New Roman"/>
                <w:b/>
              </w:rPr>
              <w:t xml:space="preserve">Gminy </w:t>
            </w:r>
            <w:r w:rsidR="001663B8" w:rsidRPr="001663B8">
              <w:rPr>
                <w:rFonts w:cs="Times New Roman"/>
                <w:b/>
              </w:rPr>
              <w:lastRenderedPageBreak/>
              <w:t>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lastRenderedPageBreak/>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lastRenderedPageBreak/>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lastRenderedPageBreak/>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lastRenderedPageBreak/>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lastRenderedPageBreak/>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xml:space="preserve">- wspieranie rozwoju małych i średnich przedsiębiorstw oraz </w:t>
            </w:r>
            <w:proofErr w:type="spellStart"/>
            <w:r w:rsidRPr="001663B8">
              <w:rPr>
                <w:rFonts w:cs="Times New Roman"/>
              </w:rPr>
              <w:t>mikroprzedsiębiorstw</w:t>
            </w:r>
            <w:proofErr w:type="spellEnd"/>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1663B8" w:rsidRPr="0065750B" w:rsidRDefault="001663B8" w:rsidP="000A1410">
      <w:pPr>
        <w:spacing w:after="0" w:line="240" w:lineRule="auto"/>
        <w:rPr>
          <w:i/>
          <w:sz w:val="20"/>
          <w:szCs w:val="20"/>
        </w:rPr>
      </w:pPr>
      <w:r w:rsidRPr="0065750B">
        <w:rPr>
          <w:i/>
          <w:sz w:val="20"/>
          <w:szCs w:val="20"/>
        </w:rPr>
        <w:t>Źródło: opracowanie własne</w:t>
      </w:r>
    </w:p>
    <w:p w:rsidR="000D10D4" w:rsidRPr="00AC3341" w:rsidRDefault="000D10D4" w:rsidP="000A1410">
      <w:pPr>
        <w:rPr>
          <w:sz w:val="10"/>
          <w:szCs w:val="10"/>
        </w:rPr>
      </w:pPr>
    </w:p>
    <w:p w:rsidR="000D48F9" w:rsidRDefault="000D48F9" w:rsidP="00C078CB">
      <w:pPr>
        <w:pStyle w:val="Nagwek2"/>
      </w:pPr>
      <w:bookmarkStart w:id="83" w:name="_Toc438459082"/>
      <w:r w:rsidRPr="00CE279F">
        <w:lastRenderedPageBreak/>
        <w:t>Uzasadnienie podejścia zintegrowanego celów i przedsięwzięć w ramach LSR</w:t>
      </w:r>
      <w:bookmarkEnd w:id="83"/>
    </w:p>
    <w:p w:rsidR="001663B8" w:rsidRDefault="001663B8" w:rsidP="00F24A1D">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w:t>
      </w:r>
      <w:proofErr w:type="spellStart"/>
      <w:r w:rsidRPr="00C73E8F">
        <w:rPr>
          <w:rFonts w:cs="Times New Roman"/>
        </w:rPr>
        <w:t>poł</w:t>
      </w:r>
      <w:proofErr w:type="spellEnd"/>
      <w:r w:rsidRPr="00C73E8F">
        <w:rPr>
          <w:rFonts w:cs="Times New Roman"/>
        </w:rPr>
        <w:t>.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F24A1D">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w:t>
      </w:r>
      <w:proofErr w:type="spellStart"/>
      <w:r>
        <w:rPr>
          <w:rFonts w:cs="Times New Roman"/>
        </w:rPr>
        <w:t>defaworyzowanych</w:t>
      </w:r>
      <w:proofErr w:type="spellEnd"/>
      <w:r>
        <w:rPr>
          <w:rFonts w:cs="Times New Roman"/>
        </w:rPr>
        <w:t xml:space="preserve">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4" w:name="_Toc438459083"/>
      <w:r w:rsidRPr="00CE279F">
        <w:lastRenderedPageBreak/>
        <w:t>Monitoring i ewaluacja</w:t>
      </w:r>
      <w:bookmarkEnd w:id="84"/>
    </w:p>
    <w:p w:rsidR="00DA60B5" w:rsidRPr="00DF5DDA" w:rsidRDefault="00DA60B5" w:rsidP="00F24A1D">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F24A1D">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F24A1D">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F24A1D">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F24A1D">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F24A1D">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F24A1D">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 xml:space="preserve">2 ewaluacje </w:t>
      </w:r>
      <w:proofErr w:type="spellStart"/>
      <w:r w:rsidRPr="00A750AE">
        <w:rPr>
          <w:rFonts w:asciiTheme="minorHAnsi" w:hAnsiTheme="minorHAnsi"/>
          <w:b/>
          <w:sz w:val="22"/>
          <w:szCs w:val="22"/>
        </w:rPr>
        <w:t>on-going</w:t>
      </w:r>
      <w:proofErr w:type="spellEnd"/>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F24A1D">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F24A1D">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F24A1D">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F24A1D">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F24A1D">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F24A1D">
      <w:pPr>
        <w:pStyle w:val="Akapitzlist"/>
        <w:numPr>
          <w:ilvl w:val="0"/>
          <w:numId w:val="6"/>
        </w:numPr>
        <w:spacing w:afterLines="60" w:line="240" w:lineRule="auto"/>
        <w:jc w:val="both"/>
        <w:rPr>
          <w:rFonts w:cs="Times New Roman"/>
        </w:rPr>
      </w:pPr>
      <w:r w:rsidRPr="00420161">
        <w:rPr>
          <w:rFonts w:cs="Times New Roman"/>
        </w:rPr>
        <w:lastRenderedPageBreak/>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F24A1D">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F24A1D">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F24A1D">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5" w:name="_Toc438459084"/>
      <w:r w:rsidRPr="00CE279F">
        <w:t>Strategiczna ocena oddziaływania na środowisko</w:t>
      </w:r>
      <w:bookmarkEnd w:id="85"/>
    </w:p>
    <w:p w:rsidR="00DA60B5" w:rsidRDefault="00DA60B5" w:rsidP="00F24A1D">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F24A1D">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w:t>
      </w:r>
      <w:proofErr w:type="spellStart"/>
      <w:r>
        <w:t>ocenowej</w:t>
      </w:r>
      <w:proofErr w:type="spellEnd"/>
      <w:r>
        <w:t>, mając na względzie w szczególności stopień ogólności informacji zawartych w projekcie LSR.</w:t>
      </w:r>
    </w:p>
    <w:p w:rsidR="00DA60B5" w:rsidRPr="00DA60B5" w:rsidRDefault="00DA60B5" w:rsidP="00F24A1D">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F24A1D">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w:t>
      </w:r>
      <w:proofErr w:type="spellStart"/>
      <w:r>
        <w:t>on-going</w:t>
      </w:r>
      <w:proofErr w:type="spellEnd"/>
      <w:r>
        <w:t>)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 xml:space="preserve">Zebranie wyników ewaluacji </w:t>
            </w:r>
            <w:proofErr w:type="spellStart"/>
            <w:r w:rsidRPr="00AE6389">
              <w:rPr>
                <w:b/>
                <w:color w:val="002060"/>
              </w:rPr>
              <w:t>on-going</w:t>
            </w:r>
            <w:proofErr w:type="spellEnd"/>
            <w:r w:rsidRPr="00AE6389">
              <w:rPr>
                <w:b/>
                <w:color w:val="002060"/>
              </w:rPr>
              <w:t xml:space="preserve">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 xml:space="preserve">Odpowiedzialność za bieżący monitoring przez cały okres wdrażania strategii spoczywać będzie na </w:t>
      </w:r>
      <w:r w:rsidRPr="008B044F">
        <w:rPr>
          <w:rFonts w:cs="Times New Roman"/>
        </w:rPr>
        <w:t>Dyrektorze</w:t>
      </w:r>
      <w:r w:rsidRPr="008B044F">
        <w:rPr>
          <w:rFonts w:cs="Times New Roman"/>
          <w:color w:val="FF0000"/>
        </w:rPr>
        <w:t xml:space="preserve"> </w:t>
      </w:r>
      <w:r w:rsidRPr="008B044F">
        <w:rPr>
          <w:rFonts w:cs="Times New Roman"/>
        </w:rPr>
        <w:t>Biura LGD</w:t>
      </w:r>
      <w:r>
        <w:rPr>
          <w:rFonts w:cs="Times New Roman"/>
        </w:rPr>
        <w:t>.</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w:t>
      </w:r>
      <w:proofErr w:type="spellStart"/>
      <w:r>
        <w:rPr>
          <w:rFonts w:cs="Times New Roman"/>
        </w:rPr>
        <w:t>Ewaluator</w:t>
      </w:r>
      <w:proofErr w:type="spellEnd"/>
      <w:r>
        <w:rPr>
          <w:rFonts w:cs="Times New Roman"/>
        </w:rPr>
        <w:t xml:space="preserve">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proofErr w:type="spellStart"/>
      <w:r w:rsidRPr="001F4A55">
        <w:rPr>
          <w:rFonts w:cs="Times New Roman"/>
          <w:i/>
        </w:rPr>
        <w:t>on-going</w:t>
      </w:r>
      <w:proofErr w:type="spellEnd"/>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w:t>
      </w:r>
      <w:proofErr w:type="spellStart"/>
      <w:r w:rsidRPr="00DF5DDA">
        <w:rPr>
          <w:rFonts w:cs="Times New Roman"/>
        </w:rPr>
        <w:t>pkt</w:t>
      </w:r>
      <w:proofErr w:type="spellEnd"/>
      <w:r w:rsidRPr="00DF5DDA">
        <w:rPr>
          <w:rFonts w:cs="Times New Roman"/>
        </w:rPr>
        <w:t xml:space="preserve"> 23 </w:t>
      </w:r>
      <w:proofErr w:type="spellStart"/>
      <w:r w:rsidRPr="00DF5DDA">
        <w:rPr>
          <w:rFonts w:cs="Times New Roman"/>
        </w:rPr>
        <w:t>ppkt</w:t>
      </w:r>
      <w:proofErr w:type="spellEnd"/>
      <w:r w:rsidRPr="00DF5DDA">
        <w:rPr>
          <w:rFonts w:cs="Times New Roman"/>
        </w:rPr>
        <w:t xml:space="preserve">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w:t>
      </w:r>
      <w:proofErr w:type="spellStart"/>
      <w:r>
        <w:rPr>
          <w:rFonts w:cs="Times New Roman"/>
        </w:rPr>
        <w:t>grantobiorców</w:t>
      </w:r>
      <w:proofErr w:type="spellEnd"/>
      <w:r>
        <w:rPr>
          <w:rFonts w:cs="Times New Roman"/>
        </w:rPr>
        <w:t>.</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 xml:space="preserve">Stopień wykorzystania środków finansowych przeznaczonych na wsparcie realizacji operacji dedykowanych w LSR grupom </w:t>
            </w:r>
            <w:proofErr w:type="spellStart"/>
            <w:r w:rsidRPr="00DF5DDA">
              <w:rPr>
                <w:rFonts w:cs="Times New Roman"/>
              </w:rPr>
              <w:t>defaworyzowanym</w:t>
            </w:r>
            <w:proofErr w:type="spellEnd"/>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xml:space="preserve">, CAWI - ankiety </w:t>
            </w:r>
            <w:proofErr w:type="spellStart"/>
            <w:r w:rsidR="00C501F8">
              <w:rPr>
                <w:rFonts w:cs="Times New Roman"/>
              </w:rPr>
              <w:t>on-line</w:t>
            </w:r>
            <w:proofErr w:type="spellEnd"/>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 xml:space="preserve">Ewaluacja </w:t>
            </w:r>
            <w:proofErr w:type="spellStart"/>
            <w:r w:rsidRPr="00A81C35">
              <w:rPr>
                <w:rFonts w:cs="Times New Roman"/>
                <w:b/>
              </w:rPr>
              <w:t>on-going</w:t>
            </w:r>
            <w:proofErr w:type="spellEnd"/>
            <w:r w:rsidRPr="00A81C35">
              <w:rPr>
                <w:rFonts w:cs="Times New Roman"/>
                <w:b/>
              </w:rPr>
              <w:t>:</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 xml:space="preserve">monitoring liczby zgłoszonych wniosków w konkursach dotyczących wsparcia grup </w:t>
            </w:r>
            <w:proofErr w:type="spellStart"/>
            <w:r w:rsidRPr="00DF5DDA">
              <w:rPr>
                <w:rFonts w:cs="Times New Roman"/>
              </w:rPr>
              <w:t>defaworyzowanych</w:t>
            </w:r>
            <w:proofErr w:type="spellEnd"/>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4F2BFE" w:rsidRDefault="004F2BFE" w:rsidP="00C078CB">
      <w:pPr>
        <w:outlineLvl w:val="0"/>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851"/>
        <w:gridCol w:w="1985"/>
        <w:gridCol w:w="769"/>
        <w:gridCol w:w="1038"/>
        <w:gridCol w:w="1000"/>
        <w:gridCol w:w="910"/>
        <w:gridCol w:w="1038"/>
        <w:gridCol w:w="1000"/>
        <w:gridCol w:w="910"/>
        <w:gridCol w:w="1038"/>
        <w:gridCol w:w="1000"/>
        <w:gridCol w:w="1069"/>
        <w:gridCol w:w="1017"/>
        <w:gridCol w:w="838"/>
        <w:gridCol w:w="1145"/>
      </w:tblGrid>
      <w:tr w:rsidR="004F2BFE" w:rsidRPr="004F2BFE" w:rsidTr="00C876EF">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1</w:t>
            </w:r>
          </w:p>
        </w:tc>
        <w:tc>
          <w:tcPr>
            <w:tcW w:w="1985"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C876EF">
        <w:tc>
          <w:tcPr>
            <w:tcW w:w="851" w:type="dxa"/>
            <w:vMerge/>
            <w:tcBorders>
              <w:bottom w:val="single" w:sz="4" w:space="0" w:color="auto"/>
            </w:tcBorders>
          </w:tcPr>
          <w:p w:rsidR="004F2BFE" w:rsidRPr="004F2BFE" w:rsidRDefault="004F2BFE" w:rsidP="004F2BFE">
            <w:pPr>
              <w:rPr>
                <w:rFonts w:ascii="Calibri" w:hAnsi="Calibri"/>
              </w:rPr>
            </w:pPr>
          </w:p>
        </w:tc>
        <w:tc>
          <w:tcPr>
            <w:tcW w:w="1985"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F2BFE" w:rsidRPr="004F2BFE" w:rsidTr="00C876EF">
        <w:tc>
          <w:tcPr>
            <w:tcW w:w="851" w:type="dxa"/>
          </w:tcPr>
          <w:p w:rsidR="004F2BFE" w:rsidRPr="004F2BFE" w:rsidRDefault="004F2BFE" w:rsidP="0065750B">
            <w:pPr>
              <w:rPr>
                <w:rFonts w:ascii="Calibri" w:hAnsi="Calibri"/>
              </w:rPr>
            </w:pPr>
            <w:r w:rsidRPr="004F2BFE">
              <w:rPr>
                <w:rFonts w:ascii="Calibri" w:hAnsi="Calibri"/>
              </w:rPr>
              <w:t>Przedsięwzię</w:t>
            </w:r>
            <w:r w:rsidR="0065750B">
              <w:rPr>
                <w:rFonts w:ascii="Calibri" w:hAnsi="Calibri"/>
              </w:rPr>
              <w:t>c</w:t>
            </w:r>
            <w:r w:rsidRPr="004F2BFE">
              <w:rPr>
                <w:rFonts w:ascii="Calibri" w:hAnsi="Calibri"/>
              </w:rPr>
              <w:t>ie 1.1.1</w:t>
            </w:r>
          </w:p>
        </w:tc>
        <w:tc>
          <w:tcPr>
            <w:tcW w:w="1985" w:type="dxa"/>
          </w:tcPr>
          <w:p w:rsidR="004F2BFE" w:rsidRPr="004F2BFE" w:rsidRDefault="004F2BFE" w:rsidP="004F2BFE">
            <w:pPr>
              <w:rPr>
                <w:rFonts w:ascii="Calibri" w:hAnsi="Calibri"/>
              </w:rPr>
            </w:pPr>
            <w:r w:rsidRPr="004F2BFE">
              <w:rPr>
                <w:rFonts w:ascii="Calibri" w:hAnsi="Calibri"/>
              </w:rPr>
              <w:t>Liczba operacji polegających na utworzeniu nowego przedsiębiorstwa</w:t>
            </w:r>
          </w:p>
        </w:tc>
        <w:tc>
          <w:tcPr>
            <w:tcW w:w="769" w:type="dxa"/>
          </w:tcPr>
          <w:p w:rsidR="004F2BFE" w:rsidRPr="00A90926" w:rsidRDefault="004F2BFE" w:rsidP="004F2BFE">
            <w:pPr>
              <w:rPr>
                <w:rFonts w:ascii="Calibri" w:hAnsi="Calibri"/>
              </w:rPr>
            </w:pPr>
            <w:r w:rsidRPr="00A90926">
              <w:rPr>
                <w:rFonts w:ascii="Calibri" w:hAnsi="Calibri"/>
              </w:rPr>
              <w:t>10 sztuk</w:t>
            </w:r>
          </w:p>
        </w:tc>
        <w:tc>
          <w:tcPr>
            <w:tcW w:w="1038" w:type="dxa"/>
          </w:tcPr>
          <w:p w:rsidR="004F2BFE" w:rsidRPr="00A90926" w:rsidRDefault="00193E63" w:rsidP="004F2BFE">
            <w:pPr>
              <w:rPr>
                <w:rFonts w:ascii="Calibri" w:hAnsi="Calibri"/>
              </w:rPr>
            </w:pPr>
            <w:r w:rsidRPr="00A90926">
              <w:rPr>
                <w:rFonts w:ascii="Calibri" w:hAnsi="Calibri"/>
              </w:rPr>
              <w:t>56</w:t>
            </w:r>
            <w:r w:rsidR="004F2BFE" w:rsidRPr="00A90926">
              <w:rPr>
                <w:rFonts w:ascii="Calibri" w:hAnsi="Calibri"/>
              </w:rPr>
              <w:t>%</w:t>
            </w:r>
          </w:p>
        </w:tc>
        <w:tc>
          <w:tcPr>
            <w:tcW w:w="1000" w:type="dxa"/>
          </w:tcPr>
          <w:p w:rsidR="004F2BFE" w:rsidRPr="00A90926" w:rsidRDefault="004F2BFE" w:rsidP="004F2BFE">
            <w:pPr>
              <w:rPr>
                <w:rFonts w:ascii="Calibri" w:hAnsi="Calibri"/>
              </w:rPr>
            </w:pPr>
            <w:r w:rsidRPr="00A90926">
              <w:rPr>
                <w:rFonts w:ascii="Calibri" w:hAnsi="Calibri"/>
              </w:rPr>
              <w:t>500.000</w:t>
            </w:r>
          </w:p>
        </w:tc>
        <w:tc>
          <w:tcPr>
            <w:tcW w:w="910" w:type="dxa"/>
          </w:tcPr>
          <w:p w:rsidR="004F2BFE" w:rsidRPr="00A90926" w:rsidRDefault="00193E63" w:rsidP="004F2BFE">
            <w:pPr>
              <w:rPr>
                <w:rFonts w:ascii="Calibri" w:hAnsi="Calibri"/>
              </w:rPr>
            </w:pPr>
            <w:r w:rsidRPr="00A90926">
              <w:rPr>
                <w:rFonts w:ascii="Calibri" w:hAnsi="Calibri"/>
              </w:rPr>
              <w:t>8</w:t>
            </w:r>
            <w:r w:rsidR="004F2BFE" w:rsidRPr="00A90926">
              <w:rPr>
                <w:rFonts w:ascii="Calibri" w:hAnsi="Calibri"/>
              </w:rPr>
              <w:t xml:space="preserve"> sztuk</w:t>
            </w:r>
          </w:p>
        </w:tc>
        <w:tc>
          <w:tcPr>
            <w:tcW w:w="1038" w:type="dxa"/>
          </w:tcPr>
          <w:p w:rsidR="004F2BFE" w:rsidRPr="00A90926" w:rsidRDefault="004F2BFE" w:rsidP="00A76156">
            <w:pPr>
              <w:rPr>
                <w:rFonts w:ascii="Calibri" w:hAnsi="Calibri"/>
              </w:rPr>
            </w:pPr>
            <w:r w:rsidRPr="00A90926">
              <w:rPr>
                <w:rFonts w:ascii="Calibri" w:hAnsi="Calibri"/>
              </w:rPr>
              <w:t>100%</w:t>
            </w:r>
          </w:p>
        </w:tc>
        <w:tc>
          <w:tcPr>
            <w:tcW w:w="1000" w:type="dxa"/>
          </w:tcPr>
          <w:p w:rsidR="004F2BFE" w:rsidRPr="00A90926" w:rsidRDefault="00193E63" w:rsidP="004F2BFE">
            <w:pPr>
              <w:rPr>
                <w:rFonts w:ascii="Calibri" w:hAnsi="Calibri"/>
              </w:rPr>
            </w:pPr>
            <w:r w:rsidRPr="00A90926">
              <w:rPr>
                <w:rFonts w:ascii="Calibri" w:hAnsi="Calibri"/>
              </w:rPr>
              <w:t>4</w:t>
            </w:r>
            <w:r w:rsidR="004F2BFE" w:rsidRPr="00A90926">
              <w:rPr>
                <w:rFonts w:ascii="Calibri" w:hAnsi="Calibri"/>
              </w:rPr>
              <w:t>00.000</w:t>
            </w:r>
          </w:p>
        </w:tc>
        <w:tc>
          <w:tcPr>
            <w:tcW w:w="910" w:type="dxa"/>
          </w:tcPr>
          <w:p w:rsidR="004F2BFE" w:rsidRPr="00A90926" w:rsidRDefault="004F2BFE" w:rsidP="004F2BFE">
            <w:pPr>
              <w:rPr>
                <w:rFonts w:ascii="Calibri" w:hAnsi="Calibri"/>
              </w:rPr>
            </w:pPr>
            <w:r w:rsidRPr="00A90926">
              <w:rPr>
                <w:rFonts w:ascii="Calibri" w:hAnsi="Calibri"/>
              </w:rPr>
              <w:t>0 sztuk</w:t>
            </w:r>
          </w:p>
        </w:tc>
        <w:tc>
          <w:tcPr>
            <w:tcW w:w="1038" w:type="dxa"/>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4F2BFE" w:rsidP="004F2BFE">
            <w:pPr>
              <w:rPr>
                <w:rFonts w:ascii="Calibri" w:hAnsi="Calibri"/>
              </w:rPr>
            </w:pPr>
            <w:r w:rsidRPr="00A90926">
              <w:rPr>
                <w:rFonts w:ascii="Calibri" w:hAnsi="Calibri"/>
              </w:rPr>
              <w:t>0,00</w:t>
            </w:r>
          </w:p>
        </w:tc>
        <w:tc>
          <w:tcPr>
            <w:tcW w:w="1069" w:type="dxa"/>
          </w:tcPr>
          <w:p w:rsidR="004F2BFE" w:rsidRPr="00A90926" w:rsidRDefault="00F0375F" w:rsidP="004F2BFE">
            <w:pPr>
              <w:rPr>
                <w:rFonts w:ascii="Calibri" w:hAnsi="Calibri"/>
              </w:rPr>
            </w:pPr>
            <w:r w:rsidRPr="00A90926">
              <w:rPr>
                <w:rFonts w:ascii="Calibri" w:hAnsi="Calibri"/>
              </w:rPr>
              <w:t>18</w:t>
            </w:r>
            <w:r w:rsidR="004F2BFE" w:rsidRPr="00A90926">
              <w:rPr>
                <w:rFonts w:ascii="Calibri" w:hAnsi="Calibri"/>
              </w:rPr>
              <w:t xml:space="preserve"> sztuk</w:t>
            </w:r>
          </w:p>
        </w:tc>
        <w:tc>
          <w:tcPr>
            <w:tcW w:w="1017" w:type="dxa"/>
          </w:tcPr>
          <w:p w:rsidR="004F2BFE" w:rsidRPr="00A90926" w:rsidRDefault="004C23CE" w:rsidP="004F2BFE">
            <w:pPr>
              <w:rPr>
                <w:rFonts w:ascii="Calibri" w:hAnsi="Calibri"/>
              </w:rPr>
            </w:pPr>
            <w:r w:rsidRPr="00A90926">
              <w:rPr>
                <w:rFonts w:ascii="Calibri" w:hAnsi="Calibri"/>
              </w:rPr>
              <w:t>9</w:t>
            </w:r>
            <w:r w:rsidR="004F2BFE" w:rsidRPr="00A90926">
              <w:rPr>
                <w:rFonts w:ascii="Calibri" w:hAnsi="Calibri"/>
              </w:rPr>
              <w:t>00.000</w:t>
            </w:r>
          </w:p>
        </w:tc>
        <w:tc>
          <w:tcPr>
            <w:tcW w:w="838" w:type="dxa"/>
          </w:tcPr>
          <w:p w:rsidR="004F2BFE" w:rsidRPr="004F2BFE" w:rsidRDefault="004F2BFE" w:rsidP="004F2BFE">
            <w:pPr>
              <w:rPr>
                <w:rFonts w:ascii="Calibri" w:hAnsi="Calibri"/>
              </w:rPr>
            </w:pPr>
            <w:r w:rsidRPr="004F2BFE">
              <w:rPr>
                <w:rFonts w:ascii="Calibri" w:hAnsi="Calibri"/>
              </w:rPr>
              <w:t>PROW</w:t>
            </w:r>
          </w:p>
        </w:tc>
        <w:tc>
          <w:tcPr>
            <w:tcW w:w="1145"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C876EF">
        <w:tc>
          <w:tcPr>
            <w:tcW w:w="851" w:type="dxa"/>
          </w:tcPr>
          <w:p w:rsidR="004F2BFE" w:rsidRPr="004F2BFE" w:rsidRDefault="004F2BFE" w:rsidP="0065750B">
            <w:pPr>
              <w:rPr>
                <w:rFonts w:ascii="Calibri" w:hAnsi="Calibri"/>
              </w:rPr>
            </w:pPr>
            <w:r w:rsidRPr="004F2BFE">
              <w:rPr>
                <w:rFonts w:ascii="Calibri" w:hAnsi="Calibri"/>
              </w:rPr>
              <w:t>Przedsięwzięcie 1.1.2</w:t>
            </w:r>
          </w:p>
        </w:tc>
        <w:tc>
          <w:tcPr>
            <w:tcW w:w="1985" w:type="dxa"/>
          </w:tcPr>
          <w:p w:rsidR="004F2BFE" w:rsidRPr="004F2BFE" w:rsidRDefault="004F2BFE" w:rsidP="004F2BFE">
            <w:pPr>
              <w:rPr>
                <w:rFonts w:ascii="Calibri" w:hAnsi="Calibri"/>
              </w:rPr>
            </w:pPr>
            <w:r w:rsidRPr="004F2BFE">
              <w:rPr>
                <w:rFonts w:ascii="Calibri" w:hAnsi="Calibri"/>
              </w:rPr>
              <w:t>Liczba operacji polegających na rozwoju istniejącego przedsiębiorstwa</w:t>
            </w:r>
          </w:p>
        </w:tc>
        <w:tc>
          <w:tcPr>
            <w:tcW w:w="769" w:type="dxa"/>
            <w:tcBorders>
              <w:bottom w:val="single" w:sz="4" w:space="0" w:color="auto"/>
            </w:tcBorders>
          </w:tcPr>
          <w:p w:rsidR="004F2BFE" w:rsidRPr="00A90926" w:rsidRDefault="00506043" w:rsidP="004F2BFE">
            <w:pPr>
              <w:rPr>
                <w:rFonts w:ascii="Calibri" w:hAnsi="Calibri"/>
              </w:rPr>
            </w:pPr>
            <w:r w:rsidRPr="00A90926">
              <w:rPr>
                <w:rFonts w:ascii="Calibri" w:hAnsi="Calibri"/>
              </w:rPr>
              <w:t>5</w:t>
            </w:r>
            <w:r w:rsidR="004F2BFE" w:rsidRPr="00A90926">
              <w:rPr>
                <w:rFonts w:ascii="Calibri" w:hAnsi="Calibri"/>
              </w:rPr>
              <w:t xml:space="preserve"> sztuk</w:t>
            </w:r>
          </w:p>
        </w:tc>
        <w:tc>
          <w:tcPr>
            <w:tcW w:w="1038" w:type="dxa"/>
            <w:tcBorders>
              <w:bottom w:val="single" w:sz="4" w:space="0" w:color="auto"/>
            </w:tcBorders>
          </w:tcPr>
          <w:p w:rsidR="004F2BFE" w:rsidRPr="00A90926" w:rsidRDefault="004F2BFE" w:rsidP="00506043">
            <w:pPr>
              <w:rPr>
                <w:rFonts w:ascii="Calibri" w:hAnsi="Calibri"/>
              </w:rPr>
            </w:pPr>
            <w:r w:rsidRPr="00A90926">
              <w:rPr>
                <w:rFonts w:ascii="Calibri" w:hAnsi="Calibri"/>
              </w:rPr>
              <w:t>4</w:t>
            </w:r>
            <w:r w:rsidR="006153E6" w:rsidRPr="00A90926">
              <w:rPr>
                <w:rFonts w:ascii="Calibri" w:hAnsi="Calibri"/>
              </w:rPr>
              <w:t>2</w:t>
            </w:r>
            <w:r w:rsidRPr="00A90926">
              <w:rPr>
                <w:rFonts w:ascii="Calibri" w:hAnsi="Calibri"/>
              </w:rPr>
              <w:t>%</w:t>
            </w:r>
          </w:p>
        </w:tc>
        <w:tc>
          <w:tcPr>
            <w:tcW w:w="1000" w:type="dxa"/>
          </w:tcPr>
          <w:p w:rsidR="004F2BFE" w:rsidRPr="00A90926" w:rsidRDefault="00506043" w:rsidP="004F2BFE">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8B22FE" w:rsidP="00506043">
            <w:pPr>
              <w:rPr>
                <w:rFonts w:ascii="Calibri" w:hAnsi="Calibri"/>
              </w:rPr>
            </w:pPr>
            <w:r w:rsidRPr="00A90926">
              <w:rPr>
                <w:rFonts w:ascii="Calibri" w:hAnsi="Calibri"/>
              </w:rPr>
              <w:t>6</w:t>
            </w:r>
            <w:r w:rsidR="004F2BFE" w:rsidRPr="00A90926">
              <w:rPr>
                <w:rFonts w:ascii="Calibri" w:hAnsi="Calibri"/>
              </w:rPr>
              <w:t xml:space="preserve"> sztuk</w:t>
            </w:r>
          </w:p>
        </w:tc>
        <w:tc>
          <w:tcPr>
            <w:tcW w:w="1038" w:type="dxa"/>
            <w:tcBorders>
              <w:bottom w:val="single" w:sz="4" w:space="0" w:color="auto"/>
            </w:tcBorders>
          </w:tcPr>
          <w:p w:rsidR="004F2BFE" w:rsidRPr="00A90926" w:rsidRDefault="00506043" w:rsidP="006153E6">
            <w:pPr>
              <w:rPr>
                <w:rFonts w:ascii="Calibri" w:hAnsi="Calibri"/>
              </w:rPr>
            </w:pPr>
            <w:r w:rsidRPr="00A90926">
              <w:rPr>
                <w:rFonts w:ascii="Calibri" w:hAnsi="Calibri"/>
              </w:rPr>
              <w:t>9</w:t>
            </w:r>
            <w:r w:rsidR="006153E6" w:rsidRPr="00A90926">
              <w:rPr>
                <w:rFonts w:ascii="Calibri" w:hAnsi="Calibri"/>
              </w:rPr>
              <w:t>2</w:t>
            </w:r>
            <w:r w:rsidR="004F2BFE" w:rsidRPr="00A90926">
              <w:rPr>
                <w:rFonts w:ascii="Calibri" w:hAnsi="Calibri"/>
              </w:rPr>
              <w:t>%</w:t>
            </w:r>
          </w:p>
        </w:tc>
        <w:tc>
          <w:tcPr>
            <w:tcW w:w="1000" w:type="dxa"/>
          </w:tcPr>
          <w:p w:rsidR="004F2BFE" w:rsidRPr="00A90926" w:rsidRDefault="008B22FE" w:rsidP="00506043">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506043" w:rsidP="00506043">
            <w:pPr>
              <w:rPr>
                <w:rFonts w:ascii="Calibri" w:hAnsi="Calibri"/>
              </w:rPr>
            </w:pPr>
            <w:r w:rsidRPr="00A90926">
              <w:rPr>
                <w:rFonts w:ascii="Calibri" w:hAnsi="Calibri"/>
              </w:rPr>
              <w:t>1</w:t>
            </w:r>
            <w:r w:rsidR="004F2BFE" w:rsidRPr="00A90926">
              <w:rPr>
                <w:rFonts w:ascii="Calibri" w:hAnsi="Calibri"/>
              </w:rPr>
              <w:t xml:space="preserve"> sztuk</w:t>
            </w:r>
            <w:r w:rsidRPr="00A90926">
              <w:rPr>
                <w:rFonts w:ascii="Calibri" w:hAnsi="Calibri"/>
              </w:rPr>
              <w:t>a</w:t>
            </w:r>
          </w:p>
        </w:tc>
        <w:tc>
          <w:tcPr>
            <w:tcW w:w="1038" w:type="dxa"/>
            <w:tcBorders>
              <w:bottom w:val="single" w:sz="4" w:space="0" w:color="auto"/>
            </w:tcBorders>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506043" w:rsidP="004F2BFE">
            <w:pPr>
              <w:rPr>
                <w:rFonts w:ascii="Calibri" w:hAnsi="Calibri"/>
              </w:rPr>
            </w:pPr>
            <w:r w:rsidRPr="00A90926">
              <w:rPr>
                <w:rFonts w:ascii="Calibri" w:hAnsi="Calibri"/>
              </w:rPr>
              <w:t>2</w:t>
            </w:r>
            <w:r w:rsidR="004F2BFE" w:rsidRPr="00A90926">
              <w:rPr>
                <w:rFonts w:ascii="Calibri" w:hAnsi="Calibri"/>
              </w:rPr>
              <w:t>00.000</w:t>
            </w:r>
          </w:p>
        </w:tc>
        <w:tc>
          <w:tcPr>
            <w:tcW w:w="1069" w:type="dxa"/>
            <w:tcBorders>
              <w:bottom w:val="single" w:sz="4" w:space="0" w:color="auto"/>
            </w:tcBorders>
          </w:tcPr>
          <w:p w:rsidR="004F2BFE" w:rsidRPr="00A90926" w:rsidRDefault="008B22FE" w:rsidP="004F2BFE">
            <w:pPr>
              <w:rPr>
                <w:rFonts w:ascii="Calibri" w:hAnsi="Calibri"/>
              </w:rPr>
            </w:pPr>
            <w:r w:rsidRPr="00A90926">
              <w:rPr>
                <w:rFonts w:ascii="Calibri" w:hAnsi="Calibri"/>
              </w:rPr>
              <w:t>12</w:t>
            </w:r>
            <w:r w:rsidR="004F2BFE" w:rsidRPr="00A90926">
              <w:rPr>
                <w:rFonts w:ascii="Calibri" w:hAnsi="Calibri"/>
              </w:rPr>
              <w:t xml:space="preserve"> sztuk</w:t>
            </w:r>
          </w:p>
        </w:tc>
        <w:tc>
          <w:tcPr>
            <w:tcW w:w="1017" w:type="dxa"/>
          </w:tcPr>
          <w:p w:rsidR="004F2BFE" w:rsidRPr="00A90926" w:rsidRDefault="008B22FE" w:rsidP="004F2BFE">
            <w:pPr>
              <w:rPr>
                <w:rFonts w:ascii="Calibri" w:hAnsi="Calibri"/>
              </w:rPr>
            </w:pPr>
            <w:r w:rsidRPr="00A90926">
              <w:rPr>
                <w:rFonts w:ascii="Calibri" w:hAnsi="Calibri"/>
              </w:rPr>
              <w:t>1.8</w:t>
            </w:r>
            <w:r w:rsidR="004F2BFE" w:rsidRPr="00A90926">
              <w:rPr>
                <w:rFonts w:ascii="Calibri" w:hAnsi="Calibri"/>
              </w:rPr>
              <w:t>00.000</w:t>
            </w:r>
          </w:p>
        </w:tc>
        <w:tc>
          <w:tcPr>
            <w:tcW w:w="838"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45"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1.3</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3D7219">
            <w:pPr>
              <w:rPr>
                <w:rFonts w:ascii="Calibri" w:hAnsi="Calibri"/>
                <w:b/>
              </w:rPr>
            </w:pPr>
            <w:r w:rsidRPr="00A90926">
              <w:rPr>
                <w:rFonts w:ascii="Calibri" w:hAnsi="Calibri"/>
                <w:b/>
              </w:rPr>
              <w:t>1.</w:t>
            </w:r>
            <w:r w:rsidR="003D7219" w:rsidRPr="00A90926">
              <w:rPr>
                <w:rFonts w:ascii="Calibri" w:hAnsi="Calibri"/>
                <w:b/>
              </w:rPr>
              <w:t>2</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2</w:t>
            </w:r>
            <w:r w:rsidR="004F2BFE" w:rsidRPr="00A90926">
              <w:rPr>
                <w:rFonts w:ascii="Calibri" w:hAnsi="Calibri"/>
                <w:b/>
              </w:rPr>
              <w:t>00.000</w:t>
            </w:r>
          </w:p>
        </w:tc>
        <w:tc>
          <w:tcPr>
            <w:tcW w:w="1069" w:type="dxa"/>
            <w:tcBorders>
              <w:bottom w:val="single" w:sz="4" w:space="0" w:color="auto"/>
            </w:tcBorders>
            <w:shd w:val="clear" w:color="auto" w:fill="0070C0"/>
          </w:tcPr>
          <w:p w:rsidR="004F2BFE" w:rsidRPr="00A90926" w:rsidRDefault="004F2BFE" w:rsidP="004F2BFE">
            <w:pPr>
              <w:rPr>
                <w:rFonts w:ascii="Calibri" w:hAnsi="Calibri"/>
                <w:b/>
              </w:rPr>
            </w:pPr>
          </w:p>
        </w:tc>
        <w:tc>
          <w:tcPr>
            <w:tcW w:w="1017" w:type="dxa"/>
            <w:tcBorders>
              <w:bottom w:val="single" w:sz="4" w:space="0" w:color="auto"/>
            </w:tcBorders>
          </w:tcPr>
          <w:p w:rsidR="004F2BFE" w:rsidRPr="00A90926" w:rsidRDefault="00BB78F0" w:rsidP="00BB78F0">
            <w:pPr>
              <w:rPr>
                <w:rFonts w:ascii="Calibri" w:hAnsi="Calibri"/>
                <w:b/>
              </w:rPr>
            </w:pPr>
            <w:r w:rsidRPr="00A90926">
              <w:rPr>
                <w:rFonts w:ascii="Calibri" w:hAnsi="Calibri"/>
                <w:b/>
              </w:rPr>
              <w:t>2</w:t>
            </w:r>
            <w:r w:rsidR="004F2BFE" w:rsidRPr="00A90926">
              <w:rPr>
                <w:rFonts w:ascii="Calibri" w:hAnsi="Calibri"/>
                <w:b/>
              </w:rPr>
              <w:t>.</w:t>
            </w:r>
            <w:r w:rsidRPr="00A90926">
              <w:rPr>
                <w:rFonts w:ascii="Calibri" w:hAnsi="Calibri"/>
                <w:b/>
              </w:rPr>
              <w:t>7</w:t>
            </w:r>
            <w:r w:rsidR="004F2BFE" w:rsidRPr="00A90926">
              <w:rPr>
                <w:rFonts w:ascii="Calibri" w:hAnsi="Calibri"/>
                <w:b/>
              </w:rPr>
              <w:t>00.000</w:t>
            </w:r>
          </w:p>
        </w:tc>
        <w:tc>
          <w:tcPr>
            <w:tcW w:w="1983"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C876EF">
        <w:tc>
          <w:tcPr>
            <w:tcW w:w="851" w:type="dxa"/>
            <w:vMerge w:val="restart"/>
          </w:tcPr>
          <w:p w:rsidR="004F2BFE" w:rsidRPr="004F2BFE" w:rsidRDefault="0065750B" w:rsidP="004F2BFE">
            <w:pPr>
              <w:rPr>
                <w:rFonts w:ascii="Calibri" w:hAnsi="Calibri"/>
              </w:rPr>
            </w:pPr>
            <w:r>
              <w:rPr>
                <w:rFonts w:ascii="Calibri" w:hAnsi="Calibri"/>
              </w:rPr>
              <w:t>Przedsięwzię</w:t>
            </w:r>
            <w:r w:rsidR="004F2BFE" w:rsidRPr="004F2BFE">
              <w:rPr>
                <w:rFonts w:ascii="Calibri" w:hAnsi="Calibri"/>
              </w:rPr>
              <w:t>cie 1.2.1</w:t>
            </w:r>
          </w:p>
        </w:tc>
        <w:tc>
          <w:tcPr>
            <w:tcW w:w="1985" w:type="dxa"/>
          </w:tcPr>
          <w:p w:rsidR="004F2BFE" w:rsidRPr="004F2BFE" w:rsidRDefault="004F2BFE" w:rsidP="004F2BFE">
            <w:pPr>
              <w:rPr>
                <w:rFonts w:ascii="Calibri" w:hAnsi="Calibri"/>
              </w:rPr>
            </w:pPr>
            <w:r w:rsidRPr="004F2BFE">
              <w:rPr>
                <w:rFonts w:ascii="Calibri" w:hAnsi="Calibri"/>
              </w:rPr>
              <w:t>Liczba wspartych inkubatorów przedsiębiorczości</w:t>
            </w:r>
          </w:p>
        </w:tc>
        <w:tc>
          <w:tcPr>
            <w:tcW w:w="769"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910" w:type="dxa"/>
          </w:tcPr>
          <w:p w:rsidR="004F2BFE" w:rsidRPr="004F2BFE" w:rsidRDefault="004F2BFE" w:rsidP="004F2BFE">
            <w:pPr>
              <w:rPr>
                <w:rFonts w:ascii="Calibri" w:hAnsi="Calibri"/>
              </w:rPr>
            </w:pPr>
            <w:r w:rsidRPr="004F2BFE">
              <w:rPr>
                <w:rFonts w:ascii="Calibri" w:hAnsi="Calibri"/>
              </w:rPr>
              <w:t>1 sztuka</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C876EF" w:rsidRDefault="00A14DA6" w:rsidP="004F2BFE">
            <w:pPr>
              <w:rPr>
                <w:rFonts w:ascii="Calibri" w:hAnsi="Calibri"/>
              </w:rPr>
            </w:pPr>
            <w:r w:rsidRPr="00C876EF">
              <w:rPr>
                <w:rFonts w:ascii="Calibri" w:hAnsi="Calibri"/>
              </w:rPr>
              <w:t>1.15</w:t>
            </w:r>
            <w:r w:rsidR="00CE505F" w:rsidRPr="00C876EF">
              <w:rPr>
                <w:rFonts w:ascii="Calibri" w:hAnsi="Calibri"/>
              </w:rPr>
              <w:t>0.000</w:t>
            </w:r>
          </w:p>
        </w:tc>
        <w:tc>
          <w:tcPr>
            <w:tcW w:w="910" w:type="dxa"/>
          </w:tcPr>
          <w:p w:rsidR="004F2BFE" w:rsidRPr="00C876EF" w:rsidRDefault="004F2BFE" w:rsidP="004F2BFE">
            <w:pPr>
              <w:rPr>
                <w:rFonts w:ascii="Calibri" w:hAnsi="Calibri"/>
              </w:rPr>
            </w:pPr>
            <w:r w:rsidRPr="00C876EF">
              <w:rPr>
                <w:rFonts w:ascii="Calibri" w:hAnsi="Calibri"/>
              </w:rPr>
              <w:t>0 sztuk</w:t>
            </w:r>
          </w:p>
        </w:tc>
        <w:tc>
          <w:tcPr>
            <w:tcW w:w="1038" w:type="dxa"/>
          </w:tcPr>
          <w:p w:rsidR="004F2BFE" w:rsidRPr="00C876EF" w:rsidRDefault="004F2BFE" w:rsidP="004F2BFE">
            <w:pPr>
              <w:rPr>
                <w:rFonts w:ascii="Calibri" w:hAnsi="Calibri"/>
              </w:rPr>
            </w:pPr>
            <w:r w:rsidRPr="00C876EF">
              <w:rPr>
                <w:rFonts w:ascii="Calibri" w:hAnsi="Calibri"/>
              </w:rPr>
              <w:t>100%</w:t>
            </w:r>
          </w:p>
        </w:tc>
        <w:tc>
          <w:tcPr>
            <w:tcW w:w="1000" w:type="dxa"/>
            <w:vMerge w:val="restart"/>
          </w:tcPr>
          <w:p w:rsidR="004F2BFE" w:rsidRPr="00C876EF" w:rsidRDefault="004F2BFE" w:rsidP="004F2BFE">
            <w:pPr>
              <w:rPr>
                <w:rFonts w:ascii="Calibri" w:hAnsi="Calibri"/>
              </w:rPr>
            </w:pPr>
            <w:r w:rsidRPr="00C876EF">
              <w:rPr>
                <w:rFonts w:ascii="Calibri" w:hAnsi="Calibri"/>
              </w:rPr>
              <w:t>0,00</w:t>
            </w:r>
          </w:p>
        </w:tc>
        <w:tc>
          <w:tcPr>
            <w:tcW w:w="1069" w:type="dxa"/>
          </w:tcPr>
          <w:p w:rsidR="004F2BFE" w:rsidRPr="00C876EF" w:rsidRDefault="004F2BFE" w:rsidP="004F2BFE">
            <w:pPr>
              <w:rPr>
                <w:rFonts w:ascii="Calibri" w:hAnsi="Calibri"/>
              </w:rPr>
            </w:pPr>
            <w:r w:rsidRPr="00C876EF">
              <w:rPr>
                <w:rFonts w:ascii="Calibri" w:hAnsi="Calibri"/>
              </w:rPr>
              <w:t>1 sztuka</w:t>
            </w:r>
          </w:p>
        </w:tc>
        <w:tc>
          <w:tcPr>
            <w:tcW w:w="1017" w:type="dxa"/>
            <w:vMerge w:val="restart"/>
          </w:tcPr>
          <w:p w:rsidR="004F2BFE" w:rsidRPr="00C876EF" w:rsidRDefault="00A14DA6" w:rsidP="004F2BFE">
            <w:pPr>
              <w:rPr>
                <w:rFonts w:ascii="Calibri" w:hAnsi="Calibri"/>
              </w:rPr>
            </w:pPr>
            <w:r w:rsidRPr="00C876EF">
              <w:rPr>
                <w:rFonts w:ascii="Calibri" w:hAnsi="Calibri"/>
              </w:rPr>
              <w:t>1.15</w:t>
            </w:r>
            <w:r w:rsidR="00CE505F" w:rsidRPr="00C876EF">
              <w:rPr>
                <w:rFonts w:ascii="Calibri" w:hAnsi="Calibri"/>
              </w:rPr>
              <w:t>0.000</w:t>
            </w:r>
          </w:p>
        </w:tc>
        <w:tc>
          <w:tcPr>
            <w:tcW w:w="838" w:type="dxa"/>
            <w:vMerge w:val="restart"/>
          </w:tcPr>
          <w:p w:rsidR="004F2BFE" w:rsidRPr="004F2BFE" w:rsidRDefault="004F2BFE" w:rsidP="004F2BFE">
            <w:pPr>
              <w:rPr>
                <w:rFonts w:ascii="Calibri" w:hAnsi="Calibri"/>
              </w:rPr>
            </w:pPr>
            <w:r w:rsidRPr="004F2BFE">
              <w:rPr>
                <w:rFonts w:ascii="Calibri" w:hAnsi="Calibri"/>
              </w:rPr>
              <w:t>RPO</w:t>
            </w:r>
          </w:p>
        </w:tc>
        <w:tc>
          <w:tcPr>
            <w:tcW w:w="1145"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C876EF">
        <w:tc>
          <w:tcPr>
            <w:tcW w:w="851" w:type="dxa"/>
            <w:vMerge/>
          </w:tcPr>
          <w:p w:rsidR="004F2BFE" w:rsidRPr="004F2BFE" w:rsidRDefault="004F2BFE" w:rsidP="004F2BFE">
            <w:pPr>
              <w:rPr>
                <w:rFonts w:ascii="Calibri" w:hAnsi="Calibri"/>
              </w:rPr>
            </w:pPr>
          </w:p>
        </w:tc>
        <w:tc>
          <w:tcPr>
            <w:tcW w:w="1985" w:type="dxa"/>
          </w:tcPr>
          <w:p w:rsidR="004F2BFE" w:rsidRPr="004F2BFE" w:rsidRDefault="004F2BFE" w:rsidP="004F2BFE">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C876EF" w:rsidRDefault="004F2BFE" w:rsidP="004F2BFE">
            <w:pPr>
              <w:rPr>
                <w:rFonts w:ascii="Calibri" w:hAnsi="Calibri"/>
              </w:rPr>
            </w:pPr>
          </w:p>
        </w:tc>
        <w:tc>
          <w:tcPr>
            <w:tcW w:w="910" w:type="dxa"/>
            <w:tcBorders>
              <w:bottom w:val="single" w:sz="4" w:space="0" w:color="auto"/>
            </w:tcBorders>
          </w:tcPr>
          <w:p w:rsidR="004F2BFE" w:rsidRPr="00C876EF" w:rsidRDefault="00506043" w:rsidP="00506043">
            <w:pPr>
              <w:rPr>
                <w:rFonts w:ascii="Calibri" w:hAnsi="Calibri"/>
              </w:rPr>
            </w:pPr>
            <w:r w:rsidRPr="00C876EF">
              <w:rPr>
                <w:rFonts w:ascii="Calibri" w:hAnsi="Calibri"/>
              </w:rPr>
              <w:t>0</w:t>
            </w:r>
            <w:r w:rsidR="004F2BFE" w:rsidRPr="00C876EF">
              <w:rPr>
                <w:rFonts w:ascii="Calibri" w:hAnsi="Calibri"/>
              </w:rPr>
              <w:t xml:space="preserve"> sztuk</w:t>
            </w:r>
          </w:p>
        </w:tc>
        <w:tc>
          <w:tcPr>
            <w:tcW w:w="1038" w:type="dxa"/>
            <w:tcBorders>
              <w:bottom w:val="single" w:sz="4" w:space="0" w:color="auto"/>
            </w:tcBorders>
          </w:tcPr>
          <w:p w:rsidR="004F2BFE" w:rsidRPr="00C876EF" w:rsidRDefault="004F2BFE" w:rsidP="004F2BFE">
            <w:pPr>
              <w:rPr>
                <w:rFonts w:ascii="Calibri" w:hAnsi="Calibri"/>
              </w:rPr>
            </w:pPr>
            <w:r w:rsidRPr="00C876EF">
              <w:rPr>
                <w:rFonts w:ascii="Calibri" w:hAnsi="Calibri"/>
              </w:rPr>
              <w:t>100%</w:t>
            </w:r>
          </w:p>
        </w:tc>
        <w:tc>
          <w:tcPr>
            <w:tcW w:w="1000" w:type="dxa"/>
            <w:vMerge/>
          </w:tcPr>
          <w:p w:rsidR="004F2BFE" w:rsidRPr="00C876EF" w:rsidRDefault="004F2BFE" w:rsidP="004F2BFE">
            <w:pPr>
              <w:rPr>
                <w:rFonts w:ascii="Calibri" w:hAnsi="Calibri"/>
              </w:rPr>
            </w:pPr>
          </w:p>
        </w:tc>
        <w:tc>
          <w:tcPr>
            <w:tcW w:w="1069" w:type="dxa"/>
            <w:tcBorders>
              <w:bottom w:val="single" w:sz="4" w:space="0" w:color="auto"/>
            </w:tcBorders>
          </w:tcPr>
          <w:p w:rsidR="004F2BFE" w:rsidRPr="00C876EF" w:rsidRDefault="004F2BFE" w:rsidP="004F2BFE">
            <w:pPr>
              <w:rPr>
                <w:rFonts w:ascii="Calibri" w:hAnsi="Calibri"/>
              </w:rPr>
            </w:pPr>
            <w:r w:rsidRPr="00C876EF">
              <w:rPr>
                <w:rFonts w:ascii="Calibri" w:hAnsi="Calibri"/>
              </w:rPr>
              <w:t>3 sztuki</w:t>
            </w:r>
          </w:p>
        </w:tc>
        <w:tc>
          <w:tcPr>
            <w:tcW w:w="1017" w:type="dxa"/>
            <w:vMerge/>
          </w:tcPr>
          <w:p w:rsidR="004F2BFE" w:rsidRPr="00C876EF" w:rsidRDefault="004F2BFE" w:rsidP="004F2BFE">
            <w:pPr>
              <w:rPr>
                <w:rFonts w:ascii="Calibri" w:hAnsi="Calibri"/>
              </w:rPr>
            </w:pP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C876EF" w:rsidRDefault="00A14DA6" w:rsidP="004F2BFE">
            <w:pPr>
              <w:rPr>
                <w:rFonts w:ascii="Calibri" w:hAnsi="Calibri"/>
                <w:b/>
              </w:rPr>
            </w:pPr>
            <w:r w:rsidRPr="00C876EF">
              <w:rPr>
                <w:rFonts w:ascii="Calibri" w:hAnsi="Calibri"/>
                <w:b/>
              </w:rPr>
              <w:t>1.15</w:t>
            </w:r>
            <w:r w:rsidR="00CE505F" w:rsidRPr="00C876EF">
              <w:rPr>
                <w:rFonts w:ascii="Calibri" w:hAnsi="Calibri"/>
                <w:b/>
              </w:rPr>
              <w:t>0.000</w:t>
            </w:r>
          </w:p>
        </w:tc>
        <w:tc>
          <w:tcPr>
            <w:tcW w:w="1948" w:type="dxa"/>
            <w:gridSpan w:val="2"/>
            <w:vMerge w:val="restart"/>
            <w:shd w:val="clear" w:color="auto" w:fill="0070C0"/>
          </w:tcPr>
          <w:p w:rsidR="004F2BFE" w:rsidRPr="00C876EF" w:rsidRDefault="004F2BFE" w:rsidP="004F2BFE">
            <w:pPr>
              <w:rPr>
                <w:rFonts w:ascii="Calibri" w:hAnsi="Calibri"/>
                <w:b/>
              </w:rPr>
            </w:pPr>
          </w:p>
        </w:tc>
        <w:tc>
          <w:tcPr>
            <w:tcW w:w="1000" w:type="dxa"/>
          </w:tcPr>
          <w:p w:rsidR="004F2BFE" w:rsidRPr="00C876EF" w:rsidRDefault="004F2BFE" w:rsidP="004F2BFE">
            <w:pPr>
              <w:rPr>
                <w:rFonts w:ascii="Calibri" w:hAnsi="Calibri"/>
                <w:b/>
              </w:rPr>
            </w:pPr>
            <w:r w:rsidRPr="00C876EF">
              <w:rPr>
                <w:rFonts w:ascii="Calibri" w:hAnsi="Calibri"/>
                <w:b/>
              </w:rPr>
              <w:t>0,00</w:t>
            </w:r>
          </w:p>
        </w:tc>
        <w:tc>
          <w:tcPr>
            <w:tcW w:w="1069" w:type="dxa"/>
            <w:vMerge w:val="restart"/>
            <w:shd w:val="clear" w:color="auto" w:fill="0070C0"/>
          </w:tcPr>
          <w:p w:rsidR="004F2BFE" w:rsidRPr="00C876EF" w:rsidRDefault="004F2BFE" w:rsidP="004F2BFE">
            <w:pPr>
              <w:rPr>
                <w:rFonts w:ascii="Calibri" w:hAnsi="Calibri"/>
                <w:b/>
              </w:rPr>
            </w:pPr>
          </w:p>
        </w:tc>
        <w:tc>
          <w:tcPr>
            <w:tcW w:w="1017" w:type="dxa"/>
          </w:tcPr>
          <w:p w:rsidR="004F2BFE" w:rsidRPr="00C876EF" w:rsidRDefault="00A14DA6" w:rsidP="004F2BFE">
            <w:pPr>
              <w:rPr>
                <w:rFonts w:ascii="Calibri" w:hAnsi="Calibri"/>
                <w:b/>
              </w:rPr>
            </w:pPr>
            <w:r w:rsidRPr="00C876EF">
              <w:rPr>
                <w:rFonts w:ascii="Calibri" w:hAnsi="Calibri"/>
                <w:b/>
              </w:rPr>
              <w:t>1.15</w:t>
            </w:r>
            <w:r w:rsidR="00CE505F" w:rsidRPr="00C876EF">
              <w:rPr>
                <w:rFonts w:ascii="Calibri" w:hAnsi="Calibri"/>
                <w:b/>
              </w:rPr>
              <w:t>0.000</w:t>
            </w:r>
          </w:p>
        </w:tc>
        <w:tc>
          <w:tcPr>
            <w:tcW w:w="1983" w:type="dxa"/>
            <w:gridSpan w:val="2"/>
            <w:vMerge w:val="restart"/>
            <w:shd w:val="clear" w:color="auto" w:fill="0070C0"/>
          </w:tcPr>
          <w:p w:rsidR="004F2BFE" w:rsidRPr="004F2BFE" w:rsidRDefault="004F2BFE" w:rsidP="004F2BFE">
            <w:pPr>
              <w:rPr>
                <w:rFonts w:ascii="Calibri" w:hAnsi="Calibri"/>
              </w:rPr>
            </w:pP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4F2BFE" w:rsidRDefault="00506043" w:rsidP="004F2BFE">
            <w:pPr>
              <w:rPr>
                <w:rFonts w:ascii="Calibri" w:hAnsi="Calibri"/>
                <w:b/>
              </w:rPr>
            </w:pPr>
            <w:r>
              <w:rPr>
                <w:rFonts w:ascii="Calibri" w:hAnsi="Calibri"/>
                <w:b/>
              </w:rPr>
              <w:t>1.3</w:t>
            </w:r>
            <w:r w:rsidR="004F2BFE" w:rsidRPr="004F2BFE">
              <w:rPr>
                <w:rFonts w:ascii="Calibri" w:hAnsi="Calibri"/>
                <w:b/>
              </w:rPr>
              <w:t>00.000</w:t>
            </w:r>
          </w:p>
        </w:tc>
        <w:tc>
          <w:tcPr>
            <w:tcW w:w="1948"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C876EF" w:rsidRDefault="00CE505F" w:rsidP="00A14DA6">
            <w:pPr>
              <w:rPr>
                <w:rFonts w:ascii="Calibri" w:hAnsi="Calibri"/>
                <w:b/>
              </w:rPr>
            </w:pPr>
            <w:r w:rsidRPr="00C876EF">
              <w:rPr>
                <w:rFonts w:ascii="Calibri" w:hAnsi="Calibri"/>
                <w:b/>
              </w:rPr>
              <w:t>2.</w:t>
            </w:r>
            <w:r w:rsidR="00A14DA6" w:rsidRPr="00C876EF">
              <w:rPr>
                <w:rFonts w:ascii="Calibri" w:hAnsi="Calibri"/>
                <w:b/>
              </w:rPr>
              <w:t>35</w:t>
            </w:r>
            <w:r w:rsidRPr="00C876EF">
              <w:rPr>
                <w:rFonts w:ascii="Calibri" w:hAnsi="Calibri"/>
                <w:b/>
              </w:rPr>
              <w:t>0.000</w:t>
            </w:r>
          </w:p>
        </w:tc>
        <w:tc>
          <w:tcPr>
            <w:tcW w:w="1948" w:type="dxa"/>
            <w:gridSpan w:val="2"/>
            <w:vMerge/>
            <w:tcBorders>
              <w:bottom w:val="single" w:sz="4" w:space="0" w:color="auto"/>
            </w:tcBorders>
          </w:tcPr>
          <w:p w:rsidR="004F2BFE" w:rsidRPr="00C876EF" w:rsidRDefault="004F2BFE" w:rsidP="004F2BFE">
            <w:pPr>
              <w:rPr>
                <w:rFonts w:ascii="Calibri" w:hAnsi="Calibri"/>
                <w:b/>
              </w:rPr>
            </w:pPr>
          </w:p>
        </w:tc>
        <w:tc>
          <w:tcPr>
            <w:tcW w:w="1000" w:type="dxa"/>
            <w:tcBorders>
              <w:bottom w:val="single" w:sz="4" w:space="0" w:color="auto"/>
            </w:tcBorders>
          </w:tcPr>
          <w:p w:rsidR="004F2BFE" w:rsidRPr="00C876EF" w:rsidRDefault="00506043" w:rsidP="004F2BFE">
            <w:pPr>
              <w:rPr>
                <w:rFonts w:ascii="Calibri" w:hAnsi="Calibri"/>
                <w:b/>
              </w:rPr>
            </w:pPr>
            <w:r w:rsidRPr="00C876EF">
              <w:rPr>
                <w:rFonts w:ascii="Calibri" w:hAnsi="Calibri"/>
                <w:b/>
              </w:rPr>
              <w:t>2</w:t>
            </w:r>
            <w:r w:rsidR="004F2BFE" w:rsidRPr="00C876EF">
              <w:rPr>
                <w:rFonts w:ascii="Calibri" w:hAnsi="Calibri"/>
                <w:b/>
              </w:rPr>
              <w:t>00.000</w:t>
            </w:r>
          </w:p>
        </w:tc>
        <w:tc>
          <w:tcPr>
            <w:tcW w:w="1069" w:type="dxa"/>
            <w:vMerge/>
            <w:tcBorders>
              <w:bottom w:val="single" w:sz="4" w:space="0" w:color="auto"/>
            </w:tcBorders>
          </w:tcPr>
          <w:p w:rsidR="004F2BFE" w:rsidRPr="00C876EF" w:rsidRDefault="004F2BFE" w:rsidP="004F2BFE">
            <w:pPr>
              <w:rPr>
                <w:rFonts w:ascii="Calibri" w:hAnsi="Calibri"/>
                <w:b/>
              </w:rPr>
            </w:pPr>
          </w:p>
        </w:tc>
        <w:tc>
          <w:tcPr>
            <w:tcW w:w="1017" w:type="dxa"/>
            <w:tcBorders>
              <w:bottom w:val="single" w:sz="4" w:space="0" w:color="auto"/>
            </w:tcBorders>
          </w:tcPr>
          <w:p w:rsidR="004F2BFE" w:rsidRPr="00C876EF" w:rsidRDefault="00CE505F" w:rsidP="00A14DA6">
            <w:pPr>
              <w:rPr>
                <w:rFonts w:ascii="Calibri" w:hAnsi="Calibri"/>
                <w:b/>
              </w:rPr>
            </w:pPr>
            <w:r w:rsidRPr="00C876EF">
              <w:rPr>
                <w:rFonts w:ascii="Calibri" w:hAnsi="Calibri"/>
                <w:b/>
              </w:rPr>
              <w:t>3.</w:t>
            </w:r>
            <w:r w:rsidR="00A14DA6" w:rsidRPr="00C876EF">
              <w:rPr>
                <w:rFonts w:ascii="Calibri" w:hAnsi="Calibri"/>
                <w:b/>
              </w:rPr>
              <w:t>85</w:t>
            </w:r>
            <w:r w:rsidRPr="00C876EF">
              <w:rPr>
                <w:rFonts w:ascii="Calibri" w:hAnsi="Calibri"/>
                <w:b/>
              </w:rPr>
              <w:t>0.000</w:t>
            </w:r>
          </w:p>
        </w:tc>
        <w:tc>
          <w:tcPr>
            <w:tcW w:w="1983" w:type="dxa"/>
            <w:gridSpan w:val="2"/>
            <w:vMerge/>
            <w:tcBorders>
              <w:bottom w:val="single" w:sz="4" w:space="0" w:color="auto"/>
            </w:tcBorders>
          </w:tcPr>
          <w:p w:rsidR="004F2BFE" w:rsidRPr="004F2BFE" w:rsidRDefault="004F2BFE" w:rsidP="004F2BFE">
            <w:pPr>
              <w:rPr>
                <w:rFonts w:ascii="Calibri" w:hAnsi="Calibri"/>
              </w:rPr>
            </w:pPr>
          </w:p>
        </w:tc>
      </w:tr>
      <w:tr w:rsidR="004F2BFE" w:rsidRPr="0065750B" w:rsidTr="00215C13">
        <w:trPr>
          <w:trHeight w:val="699"/>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lastRenderedPageBreak/>
              <w:t>Razem realizacja LSR</w:t>
            </w:r>
          </w:p>
        </w:tc>
        <w:tc>
          <w:tcPr>
            <w:tcW w:w="1017" w:type="dxa"/>
            <w:shd w:val="clear" w:color="auto" w:fill="548DD4" w:themeFill="text2" w:themeFillTint="99"/>
          </w:tcPr>
          <w:p w:rsidR="004F2BFE" w:rsidRPr="00CC7DCF" w:rsidRDefault="004F2BFE" w:rsidP="00D758E3">
            <w:pPr>
              <w:rPr>
                <w:rFonts w:ascii="Calibri" w:hAnsi="Calibri"/>
                <w:b/>
              </w:rPr>
            </w:pPr>
            <w:r w:rsidRPr="00CC7DCF">
              <w:rPr>
                <w:rFonts w:ascii="Calibri" w:hAnsi="Calibri"/>
                <w:b/>
              </w:rPr>
              <w:t>14.</w:t>
            </w:r>
            <w:r w:rsidR="00D758E3" w:rsidRPr="00CC7DCF">
              <w:rPr>
                <w:rFonts w:ascii="Calibri" w:hAnsi="Calibri"/>
                <w:b/>
              </w:rPr>
              <w:t>3</w:t>
            </w:r>
            <w:r w:rsidRPr="00CC7DCF">
              <w:rPr>
                <w:rFonts w:ascii="Calibri" w:hAnsi="Calibri"/>
                <w:b/>
              </w:rPr>
              <w:t>60.000</w:t>
            </w:r>
          </w:p>
        </w:tc>
        <w:tc>
          <w:tcPr>
            <w:tcW w:w="1983" w:type="dxa"/>
            <w:gridSpan w:val="2"/>
            <w:shd w:val="clear" w:color="auto" w:fill="548DD4" w:themeFill="text2" w:themeFillTint="99"/>
          </w:tcPr>
          <w:p w:rsidR="004F2BFE" w:rsidRPr="00CC7DCF" w:rsidRDefault="004F2BFE" w:rsidP="004F2BFE">
            <w:pPr>
              <w:rPr>
                <w:rFonts w:ascii="Calibri" w:hAnsi="Calibri"/>
              </w:rPr>
            </w:pPr>
          </w:p>
        </w:tc>
      </w:tr>
      <w:tr w:rsidR="004F2BFE" w:rsidRPr="0065750B" w:rsidTr="00215C13">
        <w:trPr>
          <w:trHeight w:val="1208"/>
        </w:trPr>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Razem planowane wsparcie na przedsięwzięcia dedykowane tworzeniu i utrzymaniu miejsc pracy w ramach </w:t>
            </w:r>
            <w:proofErr w:type="spellStart"/>
            <w:r w:rsidRPr="0065750B">
              <w:rPr>
                <w:rFonts w:ascii="Calibri" w:hAnsi="Calibri"/>
                <w:b/>
                <w:color w:val="FFFFFF" w:themeColor="background1"/>
              </w:rPr>
              <w:t>poddziałania</w:t>
            </w:r>
            <w:proofErr w:type="spellEnd"/>
            <w:r w:rsidRPr="0065750B">
              <w:rPr>
                <w:rFonts w:ascii="Calibri" w:hAnsi="Calibri"/>
                <w:b/>
                <w:color w:val="FFFFFF" w:themeColor="background1"/>
              </w:rPr>
              <w:t xml:space="preserve"> Realizacja LSR PROW</w:t>
            </w:r>
          </w:p>
        </w:tc>
        <w:tc>
          <w:tcPr>
            <w:tcW w:w="1017" w:type="dxa"/>
            <w:shd w:val="clear" w:color="auto" w:fill="548DD4" w:themeFill="text2" w:themeFillTint="99"/>
          </w:tcPr>
          <w:p w:rsidR="000E0CEA" w:rsidRPr="00CC7DCF" w:rsidRDefault="000E0CEA" w:rsidP="004F2BFE">
            <w:pPr>
              <w:rPr>
                <w:rFonts w:ascii="Calibri" w:hAnsi="Calibri"/>
                <w:b/>
              </w:rPr>
            </w:pPr>
            <w:r w:rsidRPr="00CC7DCF">
              <w:rPr>
                <w:rFonts w:ascii="Calibri" w:hAnsi="Calibri"/>
                <w:b/>
              </w:rPr>
              <w:t>50%</w:t>
            </w:r>
          </w:p>
        </w:tc>
        <w:tc>
          <w:tcPr>
            <w:tcW w:w="1983" w:type="dxa"/>
            <w:gridSpan w:val="2"/>
            <w:shd w:val="clear" w:color="auto" w:fill="548DD4" w:themeFill="text2" w:themeFillTint="99"/>
          </w:tcPr>
          <w:p w:rsidR="004F2BFE" w:rsidRPr="00CC7DCF" w:rsidRDefault="004F2BFE" w:rsidP="004F2BFE">
            <w:pPr>
              <w:rPr>
                <w:rFonts w:ascii="Calibri" w:hAnsi="Calibri"/>
                <w:b/>
              </w:rPr>
            </w:pPr>
            <w:r w:rsidRPr="00CC7DCF">
              <w:rPr>
                <w:rFonts w:ascii="Calibri" w:hAnsi="Calibri"/>
                <w:b/>
              </w:rPr>
              <w:t xml:space="preserve">% budżetu </w:t>
            </w:r>
            <w:proofErr w:type="spellStart"/>
            <w:r w:rsidRPr="00CC7DCF">
              <w:rPr>
                <w:rFonts w:ascii="Calibri" w:hAnsi="Calibri"/>
                <w:b/>
              </w:rPr>
              <w:t>poddziałania</w:t>
            </w:r>
            <w:proofErr w:type="spellEnd"/>
            <w:r w:rsidRPr="00CC7DCF">
              <w:rPr>
                <w:rFonts w:ascii="Calibri" w:hAnsi="Calibri"/>
                <w:b/>
              </w:rPr>
              <w:t xml:space="preserve"> Realizacja LSR</w:t>
            </w:r>
            <w:r w:rsidR="000E0CEA" w:rsidRPr="00CC7DCF">
              <w:rPr>
                <w:rFonts w:ascii="Calibri" w:hAnsi="Calibri"/>
                <w:b/>
              </w:rPr>
              <w:t xml:space="preserve"> PROW</w:t>
            </w:r>
          </w:p>
        </w:tc>
      </w:tr>
    </w:tbl>
    <w:p w:rsidR="004F2BFE" w:rsidRPr="00410BA0" w:rsidRDefault="004F2BFE" w:rsidP="004F2BFE">
      <w:pPr>
        <w:rPr>
          <w:sz w:val="48"/>
          <w:szCs w:val="48"/>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850"/>
        <w:gridCol w:w="980"/>
        <w:gridCol w:w="1147"/>
        <w:gridCol w:w="992"/>
        <w:gridCol w:w="865"/>
      </w:tblGrid>
      <w:tr w:rsidR="009D2EAB" w:rsidRPr="004F2BFE" w:rsidTr="007F4510">
        <w:tc>
          <w:tcPr>
            <w:tcW w:w="850"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2022-2023</w:t>
            </w:r>
          </w:p>
        </w:tc>
        <w:tc>
          <w:tcPr>
            <w:tcW w:w="2127" w:type="dxa"/>
            <w:gridSpan w:val="2"/>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9D2EAB" w:rsidRPr="004F2BFE" w:rsidRDefault="009D2EAB" w:rsidP="007F4510">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9D2EAB" w:rsidRPr="004F2BFE" w:rsidTr="007F4510">
        <w:tc>
          <w:tcPr>
            <w:tcW w:w="850" w:type="dxa"/>
            <w:vMerge/>
            <w:tcBorders>
              <w:bottom w:val="single" w:sz="4" w:space="0" w:color="auto"/>
            </w:tcBorders>
          </w:tcPr>
          <w:p w:rsidR="009D2EAB" w:rsidRPr="004F2BFE" w:rsidRDefault="009D2EAB" w:rsidP="007F4510">
            <w:pPr>
              <w:rPr>
                <w:rFonts w:ascii="Calibri" w:hAnsi="Calibri"/>
              </w:rPr>
            </w:pPr>
          </w:p>
        </w:tc>
        <w:tc>
          <w:tcPr>
            <w:tcW w:w="2269" w:type="dxa"/>
            <w:tcBorders>
              <w:bottom w:val="single" w:sz="4" w:space="0" w:color="auto"/>
            </w:tcBorders>
            <w:shd w:val="clear" w:color="auto" w:fill="0070C0"/>
            <w:vAlign w:val="center"/>
          </w:tcPr>
          <w:p w:rsidR="009D2EAB" w:rsidRPr="004F2BFE" w:rsidRDefault="009D2EAB" w:rsidP="007F4510">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851"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93"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85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Planowane wsparcie w PLN</w:t>
            </w:r>
          </w:p>
        </w:tc>
        <w:tc>
          <w:tcPr>
            <w:tcW w:w="980"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9D2EAB" w:rsidRPr="004F2BFE" w:rsidRDefault="009D2EAB" w:rsidP="007F4510">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992" w:type="dxa"/>
            <w:vMerge/>
            <w:tcBorders>
              <w:bottom w:val="single" w:sz="4" w:space="0" w:color="auto"/>
            </w:tcBorders>
          </w:tcPr>
          <w:p w:rsidR="009D2EAB" w:rsidRPr="004F2BFE" w:rsidRDefault="009D2EAB" w:rsidP="007F4510">
            <w:pPr>
              <w:rPr>
                <w:rFonts w:ascii="Calibri" w:hAnsi="Calibri"/>
              </w:rPr>
            </w:pPr>
          </w:p>
        </w:tc>
        <w:tc>
          <w:tcPr>
            <w:tcW w:w="865" w:type="dxa"/>
            <w:vMerge/>
            <w:tcBorders>
              <w:bottom w:val="single" w:sz="4" w:space="0" w:color="auto"/>
            </w:tcBorders>
          </w:tcPr>
          <w:p w:rsidR="009D2EAB" w:rsidRPr="004F2BFE" w:rsidRDefault="009D2EAB" w:rsidP="007F4510">
            <w:pPr>
              <w:rPr>
                <w:rFonts w:ascii="Calibri" w:hAnsi="Calibri"/>
              </w:rPr>
            </w:pPr>
          </w:p>
        </w:tc>
      </w:tr>
      <w:tr w:rsidR="009D2EAB" w:rsidRPr="0065750B" w:rsidTr="007F4510">
        <w:tc>
          <w:tcPr>
            <w:tcW w:w="15608" w:type="dxa"/>
            <w:gridSpan w:val="15"/>
            <w:shd w:val="clear" w:color="auto" w:fill="548DD4" w:themeFill="text2" w:themeFillTint="99"/>
          </w:tcPr>
          <w:p w:rsidR="009D2EAB" w:rsidRPr="0065750B" w:rsidRDefault="009D2EAB" w:rsidP="007F4510">
            <w:pPr>
              <w:rPr>
                <w:rFonts w:ascii="Calibri" w:hAnsi="Calibri"/>
                <w:b/>
                <w:color w:val="FFFFFF" w:themeColor="background1"/>
              </w:rPr>
            </w:pPr>
            <w:r w:rsidRPr="0065750B">
              <w:rPr>
                <w:rFonts w:ascii="Calibri" w:hAnsi="Calibri"/>
                <w:b/>
                <w:color w:val="FFFFFF" w:themeColor="background1"/>
              </w:rPr>
              <w:t>Cel szczegółowy 1</w:t>
            </w:r>
          </w:p>
        </w:tc>
      </w:tr>
      <w:tr w:rsidR="009D2EAB" w:rsidRPr="004F2BFE" w:rsidTr="007F4510">
        <w:tc>
          <w:tcPr>
            <w:tcW w:w="850" w:type="dxa"/>
          </w:tcPr>
          <w:p w:rsidR="009D2EAB" w:rsidRPr="00EB5FC5" w:rsidRDefault="009D2EAB" w:rsidP="007F4510">
            <w:pPr>
              <w:rPr>
                <w:rFonts w:ascii="Calibri" w:hAnsi="Calibri"/>
              </w:rPr>
            </w:pPr>
            <w:r w:rsidRPr="00EB5FC5">
              <w:rPr>
                <w:rFonts w:ascii="Calibri" w:hAnsi="Calibri"/>
              </w:rPr>
              <w:t>Przedsięwzięcie 2.1.1</w:t>
            </w:r>
          </w:p>
        </w:tc>
        <w:tc>
          <w:tcPr>
            <w:tcW w:w="2269" w:type="dxa"/>
          </w:tcPr>
          <w:p w:rsidR="009D2EAB" w:rsidRPr="00EB5FC5" w:rsidRDefault="009D2EAB" w:rsidP="007F4510">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9D2EAB" w:rsidRPr="00EB5FC5" w:rsidRDefault="009D2EAB" w:rsidP="007F4510">
            <w:pPr>
              <w:rPr>
                <w:rFonts w:ascii="Calibri" w:hAnsi="Calibri"/>
                <w:strike/>
              </w:rPr>
            </w:pPr>
            <w:r w:rsidRPr="00EB5FC5">
              <w:rPr>
                <w:rFonts w:ascii="Calibri" w:hAnsi="Calibri"/>
              </w:rPr>
              <w:t>360 osób</w:t>
            </w:r>
          </w:p>
        </w:tc>
        <w:tc>
          <w:tcPr>
            <w:tcW w:w="850" w:type="dxa"/>
          </w:tcPr>
          <w:p w:rsidR="009D2EAB" w:rsidRPr="00EB5FC5" w:rsidRDefault="009D2EAB" w:rsidP="007F4510">
            <w:pPr>
              <w:rPr>
                <w:rFonts w:ascii="Calibri" w:hAnsi="Calibri"/>
              </w:rPr>
            </w:pPr>
            <w:r w:rsidRPr="00EB5FC5">
              <w:rPr>
                <w:rFonts w:ascii="Calibri" w:hAnsi="Calibri"/>
              </w:rPr>
              <w:t>100%</w:t>
            </w:r>
          </w:p>
        </w:tc>
        <w:tc>
          <w:tcPr>
            <w:tcW w:w="1134" w:type="dxa"/>
          </w:tcPr>
          <w:p w:rsidR="009D2EAB" w:rsidRPr="00EB5FC5" w:rsidRDefault="009D2EAB" w:rsidP="007F4510">
            <w:pPr>
              <w:rPr>
                <w:rFonts w:ascii="Calibri" w:hAnsi="Calibri"/>
              </w:rPr>
            </w:pPr>
            <w:r w:rsidRPr="00EB5FC5">
              <w:rPr>
                <w:rFonts w:ascii="Calibri" w:hAnsi="Calibri"/>
              </w:rPr>
              <w:t>2.560.000</w:t>
            </w:r>
          </w:p>
        </w:tc>
        <w:tc>
          <w:tcPr>
            <w:tcW w:w="851"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strike/>
              </w:rPr>
            </w:pPr>
            <w:r w:rsidRPr="00EB5FC5">
              <w:rPr>
                <w:rFonts w:ascii="Calibri" w:hAnsi="Calibri"/>
              </w:rPr>
              <w:t>100%</w:t>
            </w:r>
          </w:p>
        </w:tc>
        <w:tc>
          <w:tcPr>
            <w:tcW w:w="992" w:type="dxa"/>
          </w:tcPr>
          <w:p w:rsidR="009D2EAB" w:rsidRPr="00EB5FC5" w:rsidRDefault="009D2EAB" w:rsidP="007F4510">
            <w:pPr>
              <w:rPr>
                <w:rFonts w:ascii="Calibri" w:hAnsi="Calibri"/>
                <w:strike/>
              </w:rPr>
            </w:pPr>
            <w:r w:rsidRPr="00EB5FC5">
              <w:rPr>
                <w:rFonts w:ascii="Calibri" w:hAnsi="Calibri"/>
              </w:rPr>
              <w:t>0,00</w:t>
            </w:r>
          </w:p>
        </w:tc>
        <w:tc>
          <w:tcPr>
            <w:tcW w:w="993" w:type="dxa"/>
          </w:tcPr>
          <w:p w:rsidR="009D2EAB" w:rsidRPr="00EB5FC5" w:rsidRDefault="009D2EAB" w:rsidP="007F4510">
            <w:pPr>
              <w:rPr>
                <w:rFonts w:ascii="Calibri" w:hAnsi="Calibri"/>
                <w:strike/>
              </w:rPr>
            </w:pPr>
            <w:r w:rsidRPr="00EB5FC5">
              <w:rPr>
                <w:rFonts w:ascii="Calibri" w:hAnsi="Calibri"/>
              </w:rPr>
              <w:t>0 osób</w:t>
            </w:r>
          </w:p>
        </w:tc>
        <w:tc>
          <w:tcPr>
            <w:tcW w:w="992" w:type="dxa"/>
          </w:tcPr>
          <w:p w:rsidR="009D2EAB" w:rsidRPr="00EB5FC5" w:rsidRDefault="009D2EAB" w:rsidP="007F4510">
            <w:pPr>
              <w:rPr>
                <w:rFonts w:ascii="Calibri" w:hAnsi="Calibri"/>
              </w:rPr>
            </w:pPr>
            <w:r w:rsidRPr="00EB5FC5">
              <w:rPr>
                <w:rFonts w:ascii="Calibri" w:hAnsi="Calibri"/>
              </w:rPr>
              <w:t>100%</w:t>
            </w:r>
          </w:p>
        </w:tc>
        <w:tc>
          <w:tcPr>
            <w:tcW w:w="850" w:type="dxa"/>
          </w:tcPr>
          <w:p w:rsidR="009D2EAB" w:rsidRPr="00EB5FC5" w:rsidRDefault="009D2EAB" w:rsidP="007F4510">
            <w:pPr>
              <w:rPr>
                <w:rFonts w:ascii="Calibri" w:hAnsi="Calibri"/>
                <w:strike/>
              </w:rPr>
            </w:pPr>
            <w:r w:rsidRPr="00EB5FC5">
              <w:rPr>
                <w:rFonts w:ascii="Calibri" w:hAnsi="Calibri"/>
              </w:rPr>
              <w:t>0,00</w:t>
            </w:r>
          </w:p>
        </w:tc>
        <w:tc>
          <w:tcPr>
            <w:tcW w:w="980" w:type="dxa"/>
          </w:tcPr>
          <w:p w:rsidR="009D2EAB" w:rsidRPr="00EB5FC5" w:rsidRDefault="009D2EAB" w:rsidP="007F4510">
            <w:pPr>
              <w:rPr>
                <w:rFonts w:ascii="Calibri" w:hAnsi="Calibri"/>
                <w:strike/>
              </w:rPr>
            </w:pPr>
            <w:r w:rsidRPr="00EB5FC5">
              <w:rPr>
                <w:rFonts w:ascii="Calibri" w:hAnsi="Calibri"/>
              </w:rPr>
              <w:t>360 osób</w:t>
            </w:r>
          </w:p>
        </w:tc>
        <w:tc>
          <w:tcPr>
            <w:tcW w:w="1147" w:type="dxa"/>
          </w:tcPr>
          <w:p w:rsidR="009D2EAB" w:rsidRPr="00EB5FC5" w:rsidRDefault="009D2EAB" w:rsidP="007F4510">
            <w:pPr>
              <w:rPr>
                <w:rFonts w:ascii="Calibri" w:hAnsi="Calibri"/>
                <w:strike/>
              </w:rPr>
            </w:pPr>
            <w:r w:rsidRPr="00EB5FC5">
              <w:rPr>
                <w:rFonts w:ascii="Calibri" w:hAnsi="Calibri"/>
              </w:rPr>
              <w:t>2.560.000</w:t>
            </w:r>
          </w:p>
        </w:tc>
        <w:tc>
          <w:tcPr>
            <w:tcW w:w="992" w:type="dxa"/>
          </w:tcPr>
          <w:p w:rsidR="009D2EAB" w:rsidRPr="00EB5FC5" w:rsidRDefault="009D2EAB" w:rsidP="007F4510">
            <w:pPr>
              <w:rPr>
                <w:rFonts w:ascii="Calibri" w:hAnsi="Calibri"/>
              </w:rPr>
            </w:pPr>
            <w:r w:rsidRPr="00EB5FC5">
              <w:rPr>
                <w:rFonts w:ascii="Calibri" w:hAnsi="Calibri"/>
              </w:rPr>
              <w:t>RPO</w:t>
            </w:r>
          </w:p>
        </w:tc>
        <w:tc>
          <w:tcPr>
            <w:tcW w:w="865" w:type="dxa"/>
          </w:tcPr>
          <w:p w:rsidR="009D2EAB" w:rsidRPr="00EB5FC5" w:rsidRDefault="009D2EAB" w:rsidP="007F4510">
            <w:pPr>
              <w:rPr>
                <w:rFonts w:ascii="Calibri" w:hAnsi="Calibri"/>
              </w:rPr>
            </w:pPr>
            <w:r w:rsidRPr="00EB5FC5">
              <w:rPr>
                <w:rFonts w:ascii="Calibri" w:hAnsi="Calibri"/>
              </w:rPr>
              <w:t>Realizacja LSR</w:t>
            </w:r>
          </w:p>
        </w:tc>
      </w:tr>
      <w:tr w:rsidR="009D2EAB" w:rsidRPr="00C03D2D" w:rsidTr="007F4510">
        <w:tc>
          <w:tcPr>
            <w:tcW w:w="3119" w:type="dxa"/>
            <w:gridSpan w:val="2"/>
          </w:tcPr>
          <w:p w:rsidR="009D2EAB" w:rsidRPr="00C03D2D" w:rsidRDefault="009D2EAB" w:rsidP="007F4510">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9D2EAB" w:rsidRPr="00C03D2D" w:rsidRDefault="009D2EAB" w:rsidP="007F4510">
            <w:pPr>
              <w:rPr>
                <w:rFonts w:ascii="Calibri" w:hAnsi="Calibri"/>
                <w:b/>
              </w:rPr>
            </w:pPr>
          </w:p>
        </w:tc>
        <w:tc>
          <w:tcPr>
            <w:tcW w:w="1134" w:type="dxa"/>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val="restart"/>
            <w:shd w:val="clear" w:color="auto" w:fill="0070C0"/>
          </w:tcPr>
          <w:p w:rsidR="009D2EAB" w:rsidRPr="00C03D2D" w:rsidRDefault="009D2EAB" w:rsidP="007F4510">
            <w:pPr>
              <w:rPr>
                <w:rFonts w:ascii="Calibri" w:hAnsi="Calibri"/>
                <w:b/>
              </w:rPr>
            </w:pPr>
          </w:p>
        </w:tc>
        <w:tc>
          <w:tcPr>
            <w:tcW w:w="992" w:type="dxa"/>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val="restart"/>
            <w:shd w:val="clear" w:color="auto" w:fill="0070C0"/>
          </w:tcPr>
          <w:p w:rsidR="009D2EAB" w:rsidRPr="00C03D2D" w:rsidRDefault="009D2EAB" w:rsidP="007F4510">
            <w:pPr>
              <w:rPr>
                <w:rFonts w:ascii="Calibri" w:hAnsi="Calibri"/>
                <w:b/>
              </w:rPr>
            </w:pPr>
          </w:p>
        </w:tc>
        <w:tc>
          <w:tcPr>
            <w:tcW w:w="850" w:type="dxa"/>
          </w:tcPr>
          <w:p w:rsidR="009D2EAB" w:rsidRPr="00C03D2D" w:rsidRDefault="009D2EAB" w:rsidP="007F4510">
            <w:pPr>
              <w:rPr>
                <w:rFonts w:ascii="Calibri" w:hAnsi="Calibri"/>
                <w:b/>
              </w:rPr>
            </w:pPr>
            <w:r w:rsidRPr="00C03D2D">
              <w:rPr>
                <w:rFonts w:ascii="Calibri" w:hAnsi="Calibri"/>
                <w:b/>
              </w:rPr>
              <w:t>0,00</w:t>
            </w:r>
          </w:p>
        </w:tc>
        <w:tc>
          <w:tcPr>
            <w:tcW w:w="980" w:type="dxa"/>
            <w:vMerge w:val="restart"/>
            <w:shd w:val="clear" w:color="auto" w:fill="0070C0"/>
          </w:tcPr>
          <w:p w:rsidR="009D2EAB" w:rsidRPr="00C03D2D" w:rsidRDefault="009D2EAB" w:rsidP="007F4510">
            <w:pPr>
              <w:rPr>
                <w:rFonts w:ascii="Calibri" w:hAnsi="Calibri"/>
                <w:b/>
              </w:rPr>
            </w:pPr>
          </w:p>
        </w:tc>
        <w:tc>
          <w:tcPr>
            <w:tcW w:w="1147" w:type="dxa"/>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val="restart"/>
            <w:shd w:val="clear" w:color="auto" w:fill="0070C0"/>
          </w:tcPr>
          <w:p w:rsidR="009D2EAB" w:rsidRPr="00C03D2D" w:rsidRDefault="009D2EAB" w:rsidP="007F4510">
            <w:pPr>
              <w:rPr>
                <w:rFonts w:ascii="Calibri" w:hAnsi="Calibri"/>
                <w:b/>
              </w:rPr>
            </w:pPr>
          </w:p>
        </w:tc>
      </w:tr>
      <w:tr w:rsidR="009D2EAB" w:rsidRPr="00C03D2D" w:rsidTr="007F4510">
        <w:tc>
          <w:tcPr>
            <w:tcW w:w="3119" w:type="dxa"/>
            <w:gridSpan w:val="2"/>
            <w:tcBorders>
              <w:bottom w:val="single" w:sz="4" w:space="0" w:color="auto"/>
            </w:tcBorders>
          </w:tcPr>
          <w:p w:rsidR="009D2EAB" w:rsidRPr="00C03D2D" w:rsidRDefault="009D2EAB" w:rsidP="007F4510">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1134"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43" w:type="dxa"/>
            <w:gridSpan w:val="2"/>
            <w:vMerge/>
            <w:tcBorders>
              <w:bottom w:val="single" w:sz="4" w:space="0" w:color="auto"/>
            </w:tcBorders>
            <w:shd w:val="clear" w:color="auto" w:fill="0070C0"/>
          </w:tcPr>
          <w:p w:rsidR="009D2EAB" w:rsidRPr="00C03D2D" w:rsidRDefault="009D2EAB" w:rsidP="007F4510">
            <w:pPr>
              <w:rPr>
                <w:rFonts w:ascii="Calibri" w:hAnsi="Calibri"/>
                <w:b/>
              </w:rPr>
            </w:pPr>
          </w:p>
        </w:tc>
        <w:tc>
          <w:tcPr>
            <w:tcW w:w="992"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0,00</w:t>
            </w:r>
          </w:p>
        </w:tc>
        <w:tc>
          <w:tcPr>
            <w:tcW w:w="1985" w:type="dxa"/>
            <w:gridSpan w:val="2"/>
            <w:vMerge/>
            <w:tcBorders>
              <w:bottom w:val="single" w:sz="4" w:space="0" w:color="auto"/>
            </w:tcBorders>
          </w:tcPr>
          <w:p w:rsidR="009D2EAB" w:rsidRPr="00C03D2D" w:rsidRDefault="009D2EAB" w:rsidP="007F4510">
            <w:pPr>
              <w:rPr>
                <w:rFonts w:ascii="Calibri" w:hAnsi="Calibri"/>
                <w:b/>
              </w:rPr>
            </w:pPr>
          </w:p>
        </w:tc>
        <w:tc>
          <w:tcPr>
            <w:tcW w:w="850" w:type="dxa"/>
            <w:tcBorders>
              <w:bottom w:val="single" w:sz="4" w:space="0" w:color="auto"/>
            </w:tcBorders>
          </w:tcPr>
          <w:p w:rsidR="009D2EAB" w:rsidRPr="00C03D2D" w:rsidRDefault="009D2EAB" w:rsidP="007F4510">
            <w:pPr>
              <w:rPr>
                <w:rFonts w:ascii="Calibri" w:hAnsi="Calibri"/>
                <w:b/>
                <w:strike/>
              </w:rPr>
            </w:pPr>
            <w:r w:rsidRPr="00C03D2D">
              <w:rPr>
                <w:rFonts w:ascii="Calibri" w:hAnsi="Calibri"/>
                <w:b/>
              </w:rPr>
              <w:t>0,00</w:t>
            </w:r>
          </w:p>
        </w:tc>
        <w:tc>
          <w:tcPr>
            <w:tcW w:w="980" w:type="dxa"/>
            <w:vMerge/>
            <w:tcBorders>
              <w:bottom w:val="single" w:sz="4" w:space="0" w:color="auto"/>
            </w:tcBorders>
          </w:tcPr>
          <w:p w:rsidR="009D2EAB" w:rsidRPr="00C03D2D" w:rsidRDefault="009D2EAB" w:rsidP="007F4510">
            <w:pPr>
              <w:rPr>
                <w:rFonts w:ascii="Calibri" w:hAnsi="Calibri"/>
                <w:b/>
              </w:rPr>
            </w:pPr>
          </w:p>
        </w:tc>
        <w:tc>
          <w:tcPr>
            <w:tcW w:w="1147" w:type="dxa"/>
            <w:tcBorders>
              <w:bottom w:val="single" w:sz="4" w:space="0" w:color="auto"/>
            </w:tcBorders>
          </w:tcPr>
          <w:p w:rsidR="009D2EAB" w:rsidRPr="00C03D2D" w:rsidRDefault="00CA40AB" w:rsidP="007F4510">
            <w:pPr>
              <w:rPr>
                <w:rFonts w:ascii="Calibri" w:hAnsi="Calibri"/>
                <w:b/>
              </w:rPr>
            </w:pPr>
            <w:r w:rsidRPr="00C03D2D">
              <w:rPr>
                <w:rFonts w:ascii="Calibri" w:hAnsi="Calibri"/>
                <w:b/>
              </w:rPr>
              <w:t>2.560.000</w:t>
            </w:r>
          </w:p>
        </w:tc>
        <w:tc>
          <w:tcPr>
            <w:tcW w:w="1857" w:type="dxa"/>
            <w:gridSpan w:val="2"/>
            <w:vMerge/>
            <w:tcBorders>
              <w:bottom w:val="single" w:sz="4" w:space="0" w:color="auto"/>
            </w:tcBorders>
          </w:tcPr>
          <w:p w:rsidR="009D2EAB" w:rsidRPr="00C03D2D" w:rsidRDefault="009D2EAB" w:rsidP="007F4510">
            <w:pPr>
              <w:rPr>
                <w:rFonts w:ascii="Calibri" w:hAnsi="Calibri"/>
                <w:b/>
              </w:rPr>
            </w:pPr>
          </w:p>
        </w:tc>
      </w:tr>
    </w:tbl>
    <w:p w:rsidR="00215C13" w:rsidRDefault="00215C13" w:rsidP="004F2BFE">
      <w:pPr>
        <w:rPr>
          <w:b/>
          <w:sz w:val="36"/>
          <w:szCs w:val="36"/>
        </w:rPr>
      </w:pPr>
    </w:p>
    <w:p w:rsidR="00410BA0" w:rsidRDefault="00410BA0" w:rsidP="004F2BFE">
      <w:pPr>
        <w:rPr>
          <w:b/>
          <w:sz w:val="36"/>
          <w:szCs w:val="36"/>
        </w:rPr>
      </w:pPr>
    </w:p>
    <w:p w:rsidR="00410BA0" w:rsidRDefault="00410BA0" w:rsidP="004F2BFE">
      <w:pPr>
        <w:rPr>
          <w:b/>
          <w:sz w:val="36"/>
          <w:szCs w:val="36"/>
        </w:rPr>
      </w:pPr>
    </w:p>
    <w:p w:rsidR="00410BA0" w:rsidRPr="00410BA0" w:rsidRDefault="00410BA0" w:rsidP="004F2BFE">
      <w:pPr>
        <w:rPr>
          <w:b/>
          <w:sz w:val="4"/>
          <w:szCs w:val="4"/>
        </w:rPr>
      </w:pPr>
    </w:p>
    <w:tbl>
      <w:tblPr>
        <w:tblStyle w:val="Tabela-Siatka"/>
        <w:tblW w:w="15608" w:type="dxa"/>
        <w:tblInd w:w="-176" w:type="dxa"/>
        <w:tblLayout w:type="fixed"/>
        <w:tblLook w:val="04A0"/>
      </w:tblPr>
      <w:tblGrid>
        <w:gridCol w:w="851"/>
        <w:gridCol w:w="1985"/>
        <w:gridCol w:w="45"/>
        <w:gridCol w:w="898"/>
        <w:gridCol w:w="1024"/>
        <w:gridCol w:w="987"/>
        <w:gridCol w:w="898"/>
        <w:gridCol w:w="117"/>
        <w:gridCol w:w="907"/>
        <w:gridCol w:w="987"/>
        <w:gridCol w:w="898"/>
        <w:gridCol w:w="1024"/>
        <w:gridCol w:w="987"/>
        <w:gridCol w:w="1054"/>
        <w:gridCol w:w="989"/>
        <w:gridCol w:w="827"/>
        <w:gridCol w:w="1130"/>
      </w:tblGrid>
      <w:tr w:rsidR="004F2BFE" w:rsidRPr="004F2BFE" w:rsidTr="00B73968">
        <w:tc>
          <w:tcPr>
            <w:tcW w:w="851"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lastRenderedPageBreak/>
              <w:t>Cel ogólny 3</w:t>
            </w: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09" w:type="dxa"/>
            <w:gridSpan w:val="4"/>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43"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proofErr w:type="spellStart"/>
            <w:r w:rsidRPr="004F2BFE">
              <w:rPr>
                <w:rFonts w:ascii="Calibri" w:hAnsi="Calibri"/>
                <w:b/>
                <w:color w:val="FFFFFF" w:themeColor="background1"/>
              </w:rPr>
              <w:t>Poddziałanie</w:t>
            </w:r>
            <w:proofErr w:type="spellEnd"/>
            <w:r w:rsidRPr="004F2BFE">
              <w:rPr>
                <w:rFonts w:ascii="Calibri" w:hAnsi="Calibri"/>
                <w:b/>
                <w:color w:val="FFFFFF" w:themeColor="background1"/>
              </w:rPr>
              <w:t xml:space="preserve"> / zakres programu</w:t>
            </w:r>
          </w:p>
        </w:tc>
      </w:tr>
      <w:tr w:rsidR="004F2BFE" w:rsidRPr="004F2BFE" w:rsidTr="00B73968">
        <w:tc>
          <w:tcPr>
            <w:tcW w:w="851" w:type="dxa"/>
            <w:vMerge/>
            <w:tcBorders>
              <w:bottom w:val="single" w:sz="4" w:space="0" w:color="auto"/>
            </w:tcBorders>
          </w:tcPr>
          <w:p w:rsidR="004F2BFE" w:rsidRPr="004F2BFE" w:rsidRDefault="004F2BFE" w:rsidP="004F2BFE">
            <w:pPr>
              <w:rPr>
                <w:rFonts w:ascii="Calibri" w:hAnsi="Calibri"/>
              </w:rPr>
            </w:pPr>
          </w:p>
        </w:tc>
        <w:tc>
          <w:tcPr>
            <w:tcW w:w="2030"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5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98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7"/>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45E9D" w:rsidRPr="004F2BFE" w:rsidTr="00B73968">
        <w:tc>
          <w:tcPr>
            <w:tcW w:w="851" w:type="dxa"/>
            <w:vMerge w:val="restart"/>
          </w:tcPr>
          <w:p w:rsidR="00445E9D" w:rsidRPr="004F2BFE" w:rsidRDefault="00445E9D" w:rsidP="004F2BFE">
            <w:pPr>
              <w:rPr>
                <w:rFonts w:ascii="Calibri" w:hAnsi="Calibri"/>
              </w:rPr>
            </w:pPr>
            <w:r w:rsidRPr="004F2BFE">
              <w:rPr>
                <w:rFonts w:ascii="Calibri" w:hAnsi="Calibri"/>
              </w:rPr>
              <w:t>Przedsięwzięcie 3.1.1</w:t>
            </w:r>
          </w:p>
          <w:p w:rsidR="00445E9D" w:rsidRPr="004F2BFE" w:rsidRDefault="00445E9D" w:rsidP="004F2BFE">
            <w:pPr>
              <w:rPr>
                <w:rFonts w:ascii="Calibri" w:hAnsi="Calibri"/>
              </w:rPr>
            </w:pPr>
          </w:p>
        </w:tc>
        <w:tc>
          <w:tcPr>
            <w:tcW w:w="2030" w:type="dxa"/>
            <w:gridSpan w:val="2"/>
          </w:tcPr>
          <w:p w:rsidR="00445E9D" w:rsidRPr="007B074B" w:rsidRDefault="00445E9D" w:rsidP="007B074B">
            <w:pPr>
              <w:rPr>
                <w:rFonts w:ascii="Calibri" w:hAnsi="Calibri"/>
              </w:rPr>
            </w:pPr>
            <w:r w:rsidRPr="007B074B">
              <w:rPr>
                <w:rFonts w:ascii="Calibri" w:hAnsi="Calibri"/>
              </w:rPr>
              <w:t>Liczba nowych obiektów infrastruktury turystycznej i rekreacyjnej</w:t>
            </w:r>
          </w:p>
        </w:tc>
        <w:tc>
          <w:tcPr>
            <w:tcW w:w="898" w:type="dxa"/>
          </w:tcPr>
          <w:p w:rsidR="00445E9D" w:rsidRPr="007B074B" w:rsidRDefault="00445E9D" w:rsidP="002C0B26">
            <w:pPr>
              <w:rPr>
                <w:rFonts w:ascii="Calibri" w:hAnsi="Calibri"/>
              </w:rPr>
            </w:pPr>
            <w:r w:rsidRPr="007B074B">
              <w:rPr>
                <w:rFonts w:ascii="Calibri" w:hAnsi="Calibri"/>
              </w:rPr>
              <w:t xml:space="preserve"> </w:t>
            </w:r>
            <w:r w:rsidR="002C0B26" w:rsidRPr="007B074B">
              <w:rPr>
                <w:rFonts w:ascii="Calibri" w:hAnsi="Calibri"/>
              </w:rPr>
              <w:t>4</w:t>
            </w:r>
            <w:r w:rsidR="00785ABD" w:rsidRPr="007B074B">
              <w:rPr>
                <w:rFonts w:ascii="Calibri" w:hAnsi="Calibri"/>
              </w:rPr>
              <w:t xml:space="preserve"> </w:t>
            </w:r>
            <w:r w:rsidRPr="007B074B">
              <w:rPr>
                <w:rFonts w:ascii="Calibri" w:hAnsi="Calibri"/>
              </w:rPr>
              <w:t>sztuk</w:t>
            </w:r>
            <w:r w:rsidR="002C0B26" w:rsidRPr="007B074B">
              <w:rPr>
                <w:rFonts w:ascii="Calibri" w:hAnsi="Calibri"/>
              </w:rPr>
              <w:t>i</w:t>
            </w:r>
          </w:p>
        </w:tc>
        <w:tc>
          <w:tcPr>
            <w:tcW w:w="1024" w:type="dxa"/>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506043">
            <w:pPr>
              <w:rPr>
                <w:rFonts w:ascii="Calibri" w:hAnsi="Calibri"/>
              </w:rPr>
            </w:pPr>
            <w:r w:rsidRPr="007B074B">
              <w:rPr>
                <w:rFonts w:ascii="Calibri" w:hAnsi="Calibri"/>
              </w:rPr>
              <w:t>1.092.860</w:t>
            </w:r>
          </w:p>
        </w:tc>
        <w:tc>
          <w:tcPr>
            <w:tcW w:w="898" w:type="dxa"/>
          </w:tcPr>
          <w:p w:rsidR="00445E9D" w:rsidRPr="007B074B" w:rsidRDefault="00445E9D" w:rsidP="004F2BFE">
            <w:pPr>
              <w:rPr>
                <w:rFonts w:ascii="Calibri" w:hAnsi="Calibri"/>
              </w:rPr>
            </w:pPr>
            <w:r w:rsidRPr="007B074B">
              <w:rPr>
                <w:rFonts w:ascii="Calibri" w:hAnsi="Calibri"/>
              </w:rPr>
              <w:t>0 sztuk</w:t>
            </w:r>
          </w:p>
        </w:tc>
        <w:tc>
          <w:tcPr>
            <w:tcW w:w="1024" w:type="dxa"/>
            <w:gridSpan w:val="2"/>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4F2BFE">
            <w:pPr>
              <w:rPr>
                <w:rFonts w:ascii="Calibri" w:hAnsi="Calibri"/>
              </w:rPr>
            </w:pPr>
            <w:r w:rsidRPr="007B074B">
              <w:rPr>
                <w:rFonts w:ascii="Calibri" w:hAnsi="Calibri"/>
              </w:rPr>
              <w:t>0,00</w:t>
            </w:r>
          </w:p>
        </w:tc>
        <w:tc>
          <w:tcPr>
            <w:tcW w:w="898" w:type="dxa"/>
          </w:tcPr>
          <w:p w:rsidR="00445E9D" w:rsidRPr="007B074B" w:rsidRDefault="00445E9D" w:rsidP="004F2BFE">
            <w:pPr>
              <w:rPr>
                <w:rFonts w:ascii="Calibri" w:hAnsi="Calibri"/>
              </w:rPr>
            </w:pPr>
            <w:r w:rsidRPr="007B074B">
              <w:rPr>
                <w:rFonts w:ascii="Calibri" w:hAnsi="Calibri"/>
              </w:rPr>
              <w:t>0 sztuk</w:t>
            </w:r>
          </w:p>
        </w:tc>
        <w:tc>
          <w:tcPr>
            <w:tcW w:w="1024" w:type="dxa"/>
          </w:tcPr>
          <w:p w:rsidR="00445E9D" w:rsidRPr="007B074B" w:rsidRDefault="00445E9D" w:rsidP="004F2BFE">
            <w:pPr>
              <w:rPr>
                <w:rFonts w:ascii="Calibri" w:hAnsi="Calibri"/>
              </w:rPr>
            </w:pPr>
            <w:r w:rsidRPr="007B074B">
              <w:rPr>
                <w:rFonts w:ascii="Calibri" w:hAnsi="Calibri"/>
              </w:rPr>
              <w:t>100%</w:t>
            </w:r>
          </w:p>
        </w:tc>
        <w:tc>
          <w:tcPr>
            <w:tcW w:w="987" w:type="dxa"/>
            <w:vMerge w:val="restart"/>
          </w:tcPr>
          <w:p w:rsidR="00445E9D" w:rsidRPr="007B074B" w:rsidRDefault="00445E9D" w:rsidP="004F2BFE">
            <w:pPr>
              <w:rPr>
                <w:rFonts w:ascii="Calibri" w:hAnsi="Calibri"/>
              </w:rPr>
            </w:pPr>
            <w:r w:rsidRPr="007B074B">
              <w:rPr>
                <w:rFonts w:ascii="Calibri" w:hAnsi="Calibri"/>
              </w:rPr>
              <w:t>0,00</w:t>
            </w:r>
          </w:p>
        </w:tc>
        <w:tc>
          <w:tcPr>
            <w:tcW w:w="1054" w:type="dxa"/>
          </w:tcPr>
          <w:p w:rsidR="00445E9D" w:rsidRPr="007B074B" w:rsidRDefault="002C0B26" w:rsidP="002C0B26">
            <w:pPr>
              <w:rPr>
                <w:rFonts w:ascii="Calibri" w:hAnsi="Calibri"/>
              </w:rPr>
            </w:pPr>
            <w:r w:rsidRPr="007B074B">
              <w:rPr>
                <w:rFonts w:ascii="Calibri" w:hAnsi="Calibri"/>
              </w:rPr>
              <w:t>4</w:t>
            </w:r>
            <w:r w:rsidR="00785ABD" w:rsidRPr="007B074B">
              <w:rPr>
                <w:rFonts w:ascii="Calibri" w:hAnsi="Calibri"/>
              </w:rPr>
              <w:t xml:space="preserve"> </w:t>
            </w:r>
            <w:r w:rsidR="00445E9D" w:rsidRPr="007B074B">
              <w:rPr>
                <w:rFonts w:ascii="Calibri" w:hAnsi="Calibri"/>
              </w:rPr>
              <w:t>sztuk</w:t>
            </w:r>
            <w:r w:rsidRPr="007B074B">
              <w:rPr>
                <w:rFonts w:ascii="Calibri" w:hAnsi="Calibri"/>
              </w:rPr>
              <w:t>i</w:t>
            </w:r>
          </w:p>
        </w:tc>
        <w:tc>
          <w:tcPr>
            <w:tcW w:w="989" w:type="dxa"/>
            <w:vMerge w:val="restart"/>
          </w:tcPr>
          <w:p w:rsidR="00445E9D" w:rsidRPr="007B074B" w:rsidRDefault="00445E9D" w:rsidP="00506043">
            <w:pPr>
              <w:rPr>
                <w:rFonts w:ascii="Calibri" w:hAnsi="Calibri"/>
              </w:rPr>
            </w:pPr>
            <w:r w:rsidRPr="007B074B">
              <w:rPr>
                <w:rFonts w:ascii="Calibri" w:hAnsi="Calibri"/>
              </w:rPr>
              <w:t>1.092.860</w:t>
            </w:r>
          </w:p>
        </w:tc>
        <w:tc>
          <w:tcPr>
            <w:tcW w:w="827" w:type="dxa"/>
            <w:vMerge w:val="restart"/>
          </w:tcPr>
          <w:p w:rsidR="00445E9D" w:rsidRPr="004F2BFE" w:rsidRDefault="00445E9D" w:rsidP="004F2BFE">
            <w:pPr>
              <w:rPr>
                <w:rFonts w:ascii="Calibri" w:hAnsi="Calibri"/>
              </w:rPr>
            </w:pPr>
            <w:r w:rsidRPr="004F2BFE">
              <w:rPr>
                <w:rFonts w:ascii="Calibri" w:hAnsi="Calibri"/>
              </w:rPr>
              <w:t>PROW</w:t>
            </w:r>
          </w:p>
        </w:tc>
        <w:tc>
          <w:tcPr>
            <w:tcW w:w="1130" w:type="dxa"/>
            <w:vMerge w:val="restart"/>
          </w:tcPr>
          <w:p w:rsidR="00445E9D" w:rsidRPr="004F2BFE" w:rsidRDefault="00445E9D" w:rsidP="004F2BFE">
            <w:pPr>
              <w:rPr>
                <w:rFonts w:ascii="Calibri" w:hAnsi="Calibri"/>
              </w:rPr>
            </w:pPr>
            <w:r w:rsidRPr="004F2BFE">
              <w:rPr>
                <w:rFonts w:ascii="Calibri" w:hAnsi="Calibri"/>
              </w:rPr>
              <w:t>Realizacja LSR</w:t>
            </w:r>
          </w:p>
        </w:tc>
      </w:tr>
      <w:tr w:rsidR="00445E9D" w:rsidRPr="004F2BFE" w:rsidTr="00B73968">
        <w:tc>
          <w:tcPr>
            <w:tcW w:w="851" w:type="dxa"/>
            <w:vMerge/>
          </w:tcPr>
          <w:p w:rsidR="00445E9D" w:rsidRPr="00445E9D" w:rsidRDefault="00445E9D" w:rsidP="004F2BFE">
            <w:pPr>
              <w:rPr>
                <w:rFonts w:ascii="Calibri" w:hAnsi="Calibri"/>
                <w:color w:val="FF0000"/>
              </w:rPr>
            </w:pPr>
          </w:p>
        </w:tc>
        <w:tc>
          <w:tcPr>
            <w:tcW w:w="2030" w:type="dxa"/>
            <w:gridSpan w:val="2"/>
          </w:tcPr>
          <w:p w:rsidR="00445E9D" w:rsidRPr="007B074B" w:rsidRDefault="00445E9D" w:rsidP="004F2BFE">
            <w:pPr>
              <w:rPr>
                <w:rFonts w:ascii="Calibri" w:hAnsi="Calibri"/>
              </w:rPr>
            </w:pPr>
            <w:r w:rsidRPr="007B074B">
              <w:rPr>
                <w:rFonts w:ascii="Calibri" w:hAnsi="Calibri"/>
              </w:rPr>
              <w:t>Liczba przebudowanych obiektów infrastruktury turystycznej i rekreacyjnej</w:t>
            </w:r>
          </w:p>
        </w:tc>
        <w:tc>
          <w:tcPr>
            <w:tcW w:w="898"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506043">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gridSpan w:val="2"/>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898" w:type="dxa"/>
          </w:tcPr>
          <w:p w:rsidR="00445E9D" w:rsidRPr="007B074B" w:rsidRDefault="00785ABD" w:rsidP="004F2BFE">
            <w:pPr>
              <w:rPr>
                <w:rFonts w:ascii="Calibri" w:hAnsi="Calibri"/>
              </w:rPr>
            </w:pPr>
            <w:r w:rsidRPr="007B074B">
              <w:rPr>
                <w:rFonts w:ascii="Calibri" w:hAnsi="Calibri"/>
              </w:rPr>
              <w:t>0 sztuk</w:t>
            </w:r>
          </w:p>
        </w:tc>
        <w:tc>
          <w:tcPr>
            <w:tcW w:w="1024" w:type="dxa"/>
          </w:tcPr>
          <w:p w:rsidR="00445E9D" w:rsidRPr="007B074B" w:rsidRDefault="00785ABD" w:rsidP="004F2BFE">
            <w:pPr>
              <w:rPr>
                <w:rFonts w:ascii="Calibri" w:hAnsi="Calibri"/>
              </w:rPr>
            </w:pPr>
            <w:r w:rsidRPr="007B074B">
              <w:rPr>
                <w:rFonts w:ascii="Calibri" w:hAnsi="Calibri"/>
              </w:rPr>
              <w:t>100%</w:t>
            </w:r>
          </w:p>
        </w:tc>
        <w:tc>
          <w:tcPr>
            <w:tcW w:w="987" w:type="dxa"/>
            <w:vMerge/>
          </w:tcPr>
          <w:p w:rsidR="00445E9D" w:rsidRPr="007B074B" w:rsidRDefault="00445E9D" w:rsidP="004F2BFE">
            <w:pPr>
              <w:rPr>
                <w:rFonts w:ascii="Calibri" w:hAnsi="Calibri"/>
              </w:rPr>
            </w:pPr>
          </w:p>
        </w:tc>
        <w:tc>
          <w:tcPr>
            <w:tcW w:w="1054" w:type="dxa"/>
          </w:tcPr>
          <w:p w:rsidR="00445E9D" w:rsidRPr="007B074B" w:rsidRDefault="002C0B26" w:rsidP="004F2BFE">
            <w:pPr>
              <w:rPr>
                <w:rFonts w:ascii="Calibri" w:hAnsi="Calibri"/>
              </w:rPr>
            </w:pPr>
            <w:r w:rsidRPr="007B074B">
              <w:rPr>
                <w:rFonts w:ascii="Calibri" w:hAnsi="Calibri"/>
              </w:rPr>
              <w:t>4</w:t>
            </w:r>
            <w:r w:rsidR="00785ABD" w:rsidRPr="007B074B">
              <w:rPr>
                <w:rFonts w:ascii="Calibri" w:hAnsi="Calibri"/>
              </w:rPr>
              <w:t xml:space="preserve"> sztuki</w:t>
            </w:r>
          </w:p>
        </w:tc>
        <w:tc>
          <w:tcPr>
            <w:tcW w:w="989" w:type="dxa"/>
            <w:vMerge/>
          </w:tcPr>
          <w:p w:rsidR="00445E9D" w:rsidRPr="007B074B" w:rsidRDefault="00445E9D" w:rsidP="00506043">
            <w:pPr>
              <w:rPr>
                <w:rFonts w:ascii="Calibri" w:hAnsi="Calibri"/>
              </w:rPr>
            </w:pPr>
          </w:p>
        </w:tc>
        <w:tc>
          <w:tcPr>
            <w:tcW w:w="827" w:type="dxa"/>
            <w:vMerge/>
          </w:tcPr>
          <w:p w:rsidR="00445E9D" w:rsidRPr="00445E9D" w:rsidRDefault="00445E9D" w:rsidP="004F2BFE">
            <w:pPr>
              <w:rPr>
                <w:rFonts w:ascii="Calibri" w:hAnsi="Calibri"/>
                <w:color w:val="FF0000"/>
              </w:rPr>
            </w:pPr>
          </w:p>
        </w:tc>
        <w:tc>
          <w:tcPr>
            <w:tcW w:w="1130" w:type="dxa"/>
            <w:vMerge/>
          </w:tcPr>
          <w:p w:rsidR="00445E9D" w:rsidRPr="00445E9D" w:rsidRDefault="00445E9D" w:rsidP="004F2BFE">
            <w:pPr>
              <w:rPr>
                <w:rFonts w:ascii="Calibri" w:hAnsi="Calibri"/>
                <w:color w:val="FF0000"/>
              </w:rPr>
            </w:pPr>
          </w:p>
        </w:tc>
      </w:tr>
      <w:tr w:rsidR="00084759" w:rsidRPr="004F2BFE" w:rsidTr="00B73968">
        <w:tc>
          <w:tcPr>
            <w:tcW w:w="851" w:type="dxa"/>
          </w:tcPr>
          <w:p w:rsidR="00084759" w:rsidRPr="00445E9D" w:rsidRDefault="00084759" w:rsidP="004F2BFE">
            <w:pPr>
              <w:rPr>
                <w:rFonts w:ascii="Calibri" w:hAnsi="Calibri"/>
                <w:color w:val="FF0000"/>
              </w:rPr>
            </w:pPr>
          </w:p>
        </w:tc>
        <w:tc>
          <w:tcPr>
            <w:tcW w:w="2030" w:type="dxa"/>
            <w:gridSpan w:val="2"/>
          </w:tcPr>
          <w:p w:rsidR="00084759" w:rsidRPr="007B074B" w:rsidRDefault="00084759" w:rsidP="00E41B03">
            <w:pPr>
              <w:rPr>
                <w:rFonts w:ascii="Calibri" w:hAnsi="Calibri"/>
              </w:rPr>
            </w:pPr>
            <w:r w:rsidRPr="007B074B">
              <w:t>Długość wybudowanych lub przebudowanych ścieżek rowerowych i szlaków turystycznych</w:t>
            </w:r>
          </w:p>
        </w:tc>
        <w:tc>
          <w:tcPr>
            <w:tcW w:w="898" w:type="dxa"/>
          </w:tcPr>
          <w:p w:rsidR="00084759" w:rsidRPr="007B074B" w:rsidRDefault="00EA6F6E" w:rsidP="00E41B03">
            <w:pPr>
              <w:rPr>
                <w:rFonts w:ascii="Calibri" w:hAnsi="Calibri"/>
              </w:rPr>
            </w:pPr>
            <w:r>
              <w:rPr>
                <w:rFonts w:ascii="Calibri" w:hAnsi="Calibri"/>
              </w:rPr>
              <w:t>0</w:t>
            </w:r>
            <w:r w:rsidR="00084759" w:rsidRPr="007B074B">
              <w:rPr>
                <w:rFonts w:ascii="Calibri" w:hAnsi="Calibri"/>
              </w:rPr>
              <w:t>,30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gridSpan w:val="2"/>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898" w:type="dxa"/>
          </w:tcPr>
          <w:p w:rsidR="00084759" w:rsidRPr="007B074B" w:rsidRDefault="00084759" w:rsidP="00E41B03">
            <w:pPr>
              <w:rPr>
                <w:rFonts w:ascii="Calibri" w:hAnsi="Calibri"/>
              </w:rPr>
            </w:pPr>
            <w:r w:rsidRPr="007B074B">
              <w:rPr>
                <w:rFonts w:ascii="Calibri" w:hAnsi="Calibri"/>
              </w:rPr>
              <w:t>0,00 km</w:t>
            </w:r>
          </w:p>
        </w:tc>
        <w:tc>
          <w:tcPr>
            <w:tcW w:w="1024" w:type="dxa"/>
          </w:tcPr>
          <w:p w:rsidR="00084759" w:rsidRPr="007B074B" w:rsidRDefault="00084759" w:rsidP="00E41B03">
            <w:pPr>
              <w:rPr>
                <w:rFonts w:ascii="Calibri" w:hAnsi="Calibri"/>
              </w:rPr>
            </w:pPr>
            <w:r w:rsidRPr="007B074B">
              <w:rPr>
                <w:rFonts w:ascii="Calibri" w:hAnsi="Calibri"/>
              </w:rPr>
              <w:t>100%</w:t>
            </w:r>
          </w:p>
        </w:tc>
        <w:tc>
          <w:tcPr>
            <w:tcW w:w="987" w:type="dxa"/>
          </w:tcPr>
          <w:p w:rsidR="00084759" w:rsidRPr="007B074B" w:rsidRDefault="00084759" w:rsidP="00E41B03">
            <w:pPr>
              <w:rPr>
                <w:rFonts w:ascii="Calibri" w:hAnsi="Calibri"/>
              </w:rPr>
            </w:pPr>
          </w:p>
        </w:tc>
        <w:tc>
          <w:tcPr>
            <w:tcW w:w="1054" w:type="dxa"/>
          </w:tcPr>
          <w:p w:rsidR="00084759" w:rsidRPr="007B074B" w:rsidRDefault="00084759" w:rsidP="00E41B03">
            <w:pPr>
              <w:rPr>
                <w:rFonts w:ascii="Calibri" w:hAnsi="Calibri"/>
              </w:rPr>
            </w:pPr>
            <w:r w:rsidRPr="007B074B">
              <w:rPr>
                <w:rFonts w:ascii="Calibri" w:hAnsi="Calibri"/>
              </w:rPr>
              <w:t>0,30 km</w:t>
            </w:r>
          </w:p>
        </w:tc>
        <w:tc>
          <w:tcPr>
            <w:tcW w:w="989" w:type="dxa"/>
          </w:tcPr>
          <w:p w:rsidR="00084759" w:rsidRPr="007B074B" w:rsidRDefault="00084759" w:rsidP="00506043">
            <w:pPr>
              <w:rPr>
                <w:rFonts w:ascii="Calibri" w:hAnsi="Calibri"/>
              </w:rPr>
            </w:pPr>
          </w:p>
        </w:tc>
        <w:tc>
          <w:tcPr>
            <w:tcW w:w="827" w:type="dxa"/>
          </w:tcPr>
          <w:p w:rsidR="00084759" w:rsidRPr="00445E9D" w:rsidRDefault="00084759" w:rsidP="004F2BFE">
            <w:pPr>
              <w:rPr>
                <w:rFonts w:ascii="Calibri" w:hAnsi="Calibri"/>
                <w:color w:val="FF0000"/>
              </w:rPr>
            </w:pPr>
          </w:p>
        </w:tc>
        <w:tc>
          <w:tcPr>
            <w:tcW w:w="1130" w:type="dxa"/>
          </w:tcPr>
          <w:p w:rsidR="00084759" w:rsidRPr="00445E9D" w:rsidRDefault="00084759" w:rsidP="004F2BFE">
            <w:pPr>
              <w:rPr>
                <w:rFonts w:ascii="Calibri" w:hAnsi="Calibri"/>
                <w:color w:val="FF0000"/>
              </w:rPr>
            </w:pPr>
          </w:p>
        </w:tc>
      </w:tr>
      <w:tr w:rsidR="00084759" w:rsidRPr="004F2BFE" w:rsidTr="00B73968">
        <w:tc>
          <w:tcPr>
            <w:tcW w:w="851" w:type="dxa"/>
          </w:tcPr>
          <w:p w:rsidR="00084759" w:rsidRPr="004F2BFE" w:rsidRDefault="00084759" w:rsidP="004F2BFE">
            <w:pPr>
              <w:rPr>
                <w:rFonts w:ascii="Calibri" w:hAnsi="Calibri"/>
              </w:rPr>
            </w:pPr>
            <w:r w:rsidRPr="004F2BFE">
              <w:rPr>
                <w:rFonts w:ascii="Calibri" w:hAnsi="Calibri"/>
              </w:rPr>
              <w:t>Przedsięwzięcie 3.1.2</w:t>
            </w:r>
          </w:p>
        </w:tc>
        <w:tc>
          <w:tcPr>
            <w:tcW w:w="2030" w:type="dxa"/>
            <w:gridSpan w:val="2"/>
          </w:tcPr>
          <w:p w:rsidR="00084759" w:rsidRPr="003E108B" w:rsidRDefault="00084759" w:rsidP="007B074B">
            <w:pPr>
              <w:rPr>
                <w:rFonts w:ascii="Calibri" w:hAnsi="Calibri"/>
              </w:rPr>
            </w:pPr>
            <w:r w:rsidRPr="003E108B">
              <w:rPr>
                <w:rFonts w:ascii="Calibri" w:hAnsi="Calibri"/>
              </w:rPr>
              <w:t>Liczba podmiotów wspartych w ramach</w:t>
            </w:r>
            <w:r w:rsidR="007B074B" w:rsidRPr="003E108B">
              <w:rPr>
                <w:rFonts w:ascii="Calibri" w:hAnsi="Calibri"/>
              </w:rPr>
              <w:t xml:space="preserve"> </w:t>
            </w:r>
            <w:r w:rsidRPr="003E108B">
              <w:rPr>
                <w:rFonts w:ascii="Calibri" w:hAnsi="Calibri"/>
              </w:rPr>
              <w:t>operacji obejmujących wyposażenie mające na celu szerzenie lokalnej kultury i dziedzictwa lokalnego</w:t>
            </w:r>
          </w:p>
        </w:tc>
        <w:tc>
          <w:tcPr>
            <w:tcW w:w="898" w:type="dxa"/>
            <w:tcBorders>
              <w:bottom w:val="single" w:sz="4" w:space="0" w:color="auto"/>
            </w:tcBorders>
          </w:tcPr>
          <w:p w:rsidR="00084759" w:rsidRPr="003E108B" w:rsidRDefault="00084759" w:rsidP="004F2BFE">
            <w:pPr>
              <w:rPr>
                <w:rFonts w:ascii="Calibri" w:hAnsi="Calibri"/>
              </w:rPr>
            </w:pPr>
            <w:r w:rsidRPr="003E108B">
              <w:rPr>
                <w:rFonts w:ascii="Calibri" w:hAnsi="Calibri"/>
              </w:rPr>
              <w:t>0 sztuk</w:t>
            </w:r>
          </w:p>
        </w:tc>
        <w:tc>
          <w:tcPr>
            <w:tcW w:w="1024" w:type="dxa"/>
            <w:tcBorders>
              <w:bottom w:val="single" w:sz="4" w:space="0" w:color="auto"/>
            </w:tcBorders>
          </w:tcPr>
          <w:p w:rsidR="00084759" w:rsidRPr="004F2BFE" w:rsidRDefault="00084759" w:rsidP="004F2BFE">
            <w:pPr>
              <w:rPr>
                <w:rFonts w:ascii="Calibri" w:hAnsi="Calibri"/>
              </w:rPr>
            </w:pPr>
            <w:r w:rsidRPr="004F2BFE">
              <w:rPr>
                <w:rFonts w:ascii="Calibri" w:hAnsi="Calibri"/>
              </w:rPr>
              <w:t>0%</w:t>
            </w:r>
          </w:p>
        </w:tc>
        <w:tc>
          <w:tcPr>
            <w:tcW w:w="987" w:type="dxa"/>
          </w:tcPr>
          <w:p w:rsidR="00084759" w:rsidRPr="005D154E" w:rsidRDefault="00084759" w:rsidP="004F2BFE">
            <w:pPr>
              <w:rPr>
                <w:rFonts w:ascii="Calibri" w:hAnsi="Calibri"/>
              </w:rPr>
            </w:pPr>
            <w:r w:rsidRPr="005D154E">
              <w:rPr>
                <w:rFonts w:ascii="Calibri" w:hAnsi="Calibri"/>
              </w:rPr>
              <w:t>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1024" w:type="dxa"/>
            <w:gridSpan w:val="2"/>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5D154E" w:rsidRDefault="00084759" w:rsidP="004F2BFE">
            <w:pPr>
              <w:rPr>
                <w:rFonts w:ascii="Calibri" w:hAnsi="Calibri"/>
              </w:rPr>
            </w:pPr>
            <w:r w:rsidRPr="005D154E">
              <w:rPr>
                <w:rFonts w:ascii="Calibri" w:hAnsi="Calibri"/>
              </w:rPr>
              <w:t>150.000</w:t>
            </w:r>
          </w:p>
        </w:tc>
        <w:tc>
          <w:tcPr>
            <w:tcW w:w="898" w:type="dxa"/>
            <w:tcBorders>
              <w:bottom w:val="single" w:sz="4" w:space="0" w:color="auto"/>
            </w:tcBorders>
          </w:tcPr>
          <w:p w:rsidR="00084759" w:rsidRPr="005D154E" w:rsidRDefault="00084759" w:rsidP="004F2BFE">
            <w:pPr>
              <w:rPr>
                <w:rFonts w:ascii="Calibri" w:hAnsi="Calibri"/>
              </w:rPr>
            </w:pPr>
            <w:r w:rsidRPr="005D154E">
              <w:rPr>
                <w:rFonts w:ascii="Calibri" w:hAnsi="Calibri"/>
              </w:rPr>
              <w:t>0 sztuk</w:t>
            </w:r>
          </w:p>
        </w:tc>
        <w:tc>
          <w:tcPr>
            <w:tcW w:w="1024" w:type="dxa"/>
            <w:tcBorders>
              <w:bottom w:val="single" w:sz="4" w:space="0" w:color="auto"/>
            </w:tcBorders>
          </w:tcPr>
          <w:p w:rsidR="00084759" w:rsidRPr="005D154E" w:rsidRDefault="00084759" w:rsidP="004F2BFE">
            <w:pPr>
              <w:rPr>
                <w:rFonts w:ascii="Calibri" w:hAnsi="Calibri"/>
              </w:rPr>
            </w:pPr>
            <w:r w:rsidRPr="005D154E">
              <w:rPr>
                <w:rFonts w:ascii="Calibri" w:hAnsi="Calibri"/>
              </w:rPr>
              <w:t>100%</w:t>
            </w:r>
          </w:p>
        </w:tc>
        <w:tc>
          <w:tcPr>
            <w:tcW w:w="987" w:type="dxa"/>
          </w:tcPr>
          <w:p w:rsidR="00084759" w:rsidRPr="005D154E" w:rsidRDefault="00084759" w:rsidP="004F2BFE">
            <w:pPr>
              <w:rPr>
                <w:rFonts w:ascii="Calibri" w:hAnsi="Calibri"/>
              </w:rPr>
            </w:pPr>
            <w:r w:rsidRPr="005D154E">
              <w:rPr>
                <w:rFonts w:ascii="Calibri" w:hAnsi="Calibri"/>
              </w:rPr>
              <w:t>0,00</w:t>
            </w:r>
          </w:p>
        </w:tc>
        <w:tc>
          <w:tcPr>
            <w:tcW w:w="1054" w:type="dxa"/>
            <w:tcBorders>
              <w:bottom w:val="single" w:sz="4" w:space="0" w:color="auto"/>
            </w:tcBorders>
          </w:tcPr>
          <w:p w:rsidR="00084759" w:rsidRPr="005D154E" w:rsidRDefault="00084759" w:rsidP="004F2BFE">
            <w:pPr>
              <w:rPr>
                <w:rFonts w:ascii="Calibri" w:hAnsi="Calibri"/>
              </w:rPr>
            </w:pPr>
            <w:r w:rsidRPr="005D154E">
              <w:rPr>
                <w:rFonts w:ascii="Calibri" w:hAnsi="Calibri"/>
              </w:rPr>
              <w:t>7 sztuk</w:t>
            </w:r>
          </w:p>
        </w:tc>
        <w:tc>
          <w:tcPr>
            <w:tcW w:w="989" w:type="dxa"/>
          </w:tcPr>
          <w:p w:rsidR="00084759" w:rsidRPr="005D154E" w:rsidRDefault="00084759" w:rsidP="004F2BFE">
            <w:pPr>
              <w:rPr>
                <w:rFonts w:ascii="Calibri" w:hAnsi="Calibri"/>
              </w:rPr>
            </w:pPr>
            <w:r w:rsidRPr="005D154E">
              <w:rPr>
                <w:rFonts w:ascii="Calibri" w:hAnsi="Calibri"/>
              </w:rPr>
              <w:t>150.000</w:t>
            </w:r>
          </w:p>
        </w:tc>
        <w:tc>
          <w:tcPr>
            <w:tcW w:w="827" w:type="dxa"/>
            <w:tcBorders>
              <w:bottom w:val="single" w:sz="4" w:space="0" w:color="auto"/>
            </w:tcBorders>
          </w:tcPr>
          <w:p w:rsidR="00084759" w:rsidRPr="004F2BFE" w:rsidRDefault="00084759" w:rsidP="004F2BFE">
            <w:pPr>
              <w:rPr>
                <w:rFonts w:ascii="Calibri" w:hAnsi="Calibri"/>
              </w:rPr>
            </w:pPr>
            <w:r w:rsidRPr="004F2BFE">
              <w:rPr>
                <w:rFonts w:ascii="Calibri" w:hAnsi="Calibri"/>
              </w:rPr>
              <w:t>PROW</w:t>
            </w:r>
          </w:p>
        </w:tc>
        <w:tc>
          <w:tcPr>
            <w:tcW w:w="1130" w:type="dxa"/>
            <w:tcBorders>
              <w:bottom w:val="single" w:sz="4" w:space="0" w:color="auto"/>
            </w:tcBorders>
          </w:tcPr>
          <w:p w:rsidR="00084759" w:rsidRPr="004F2BFE" w:rsidRDefault="00084759" w:rsidP="004F2BFE">
            <w:pPr>
              <w:rPr>
                <w:rFonts w:ascii="Calibri" w:hAnsi="Calibri"/>
              </w:rPr>
            </w:pPr>
            <w:r w:rsidRPr="004F2BFE">
              <w:rPr>
                <w:rFonts w:ascii="Calibri" w:hAnsi="Calibri"/>
              </w:rPr>
              <w:t>Realizacja LSR</w:t>
            </w:r>
          </w:p>
        </w:tc>
      </w:tr>
      <w:tr w:rsidR="00084759" w:rsidRPr="004F2BFE" w:rsidTr="00B73968">
        <w:tc>
          <w:tcPr>
            <w:tcW w:w="851" w:type="dxa"/>
            <w:vMerge w:val="restart"/>
          </w:tcPr>
          <w:p w:rsidR="00084759" w:rsidRPr="004F2BFE" w:rsidRDefault="00084759" w:rsidP="004F2BFE">
            <w:pPr>
              <w:rPr>
                <w:rFonts w:ascii="Calibri" w:hAnsi="Calibri"/>
              </w:rPr>
            </w:pPr>
            <w:r w:rsidRPr="004F2BFE">
              <w:rPr>
                <w:rFonts w:ascii="Calibri" w:hAnsi="Calibri"/>
              </w:rPr>
              <w:t>Przedsięwzię</w:t>
            </w:r>
            <w:r w:rsidRPr="004F2BFE">
              <w:rPr>
                <w:rFonts w:ascii="Calibri" w:hAnsi="Calibri"/>
              </w:rPr>
              <w:lastRenderedPageBreak/>
              <w:t>cie 3.1.3</w:t>
            </w:r>
          </w:p>
        </w:tc>
        <w:tc>
          <w:tcPr>
            <w:tcW w:w="2030" w:type="dxa"/>
            <w:gridSpan w:val="2"/>
          </w:tcPr>
          <w:p w:rsidR="00084759" w:rsidRPr="00BA0024" w:rsidRDefault="00084759" w:rsidP="004F2BFE">
            <w:pPr>
              <w:rPr>
                <w:rFonts w:ascii="Calibri" w:hAnsi="Calibri"/>
              </w:rPr>
            </w:pPr>
            <w:r w:rsidRPr="00BA0024">
              <w:rPr>
                <w:rFonts w:ascii="Calibri" w:hAnsi="Calibri"/>
              </w:rPr>
              <w:lastRenderedPageBreak/>
              <w:t xml:space="preserve">Liczba zrealizowanych </w:t>
            </w:r>
            <w:r w:rsidRPr="00BA0024">
              <w:rPr>
                <w:rFonts w:ascii="Calibri" w:hAnsi="Calibri"/>
              </w:rPr>
              <w:lastRenderedPageBreak/>
              <w:t>projektów współpracy</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lastRenderedPageBreak/>
              <w:t>2 sztuki</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90.000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gridSpan w:val="2"/>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4F2BFE">
            <w:pPr>
              <w:rPr>
                <w:rFonts w:ascii="Calibri" w:hAnsi="Calibri"/>
              </w:rPr>
            </w:pPr>
            <w:r w:rsidRPr="00BA0024">
              <w:rPr>
                <w:rFonts w:ascii="Calibri" w:hAnsi="Calibri"/>
              </w:rPr>
              <w:t>0,00</w:t>
            </w: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tcBorders>
              <w:bottom w:val="single" w:sz="4" w:space="0" w:color="auto"/>
            </w:tcBorders>
          </w:tcPr>
          <w:p w:rsidR="00084759" w:rsidRPr="00BA0024" w:rsidRDefault="00084759" w:rsidP="004F2BFE">
            <w:pPr>
              <w:rPr>
                <w:rFonts w:ascii="Calibri" w:hAnsi="Calibri"/>
                <w:strike/>
              </w:rPr>
            </w:pPr>
            <w:r w:rsidRPr="00BA0024">
              <w:rPr>
                <w:rFonts w:ascii="Calibri" w:hAnsi="Calibri"/>
              </w:rPr>
              <w:t>100%</w:t>
            </w:r>
          </w:p>
        </w:tc>
        <w:tc>
          <w:tcPr>
            <w:tcW w:w="987" w:type="dxa"/>
            <w:vMerge w:val="restart"/>
          </w:tcPr>
          <w:p w:rsidR="00084759" w:rsidRPr="00BA0024" w:rsidRDefault="00084759" w:rsidP="00BA0024">
            <w:pPr>
              <w:rPr>
                <w:rFonts w:ascii="Calibri" w:hAnsi="Calibri"/>
                <w:strike/>
              </w:rPr>
            </w:pPr>
            <w:r w:rsidRPr="00BA0024">
              <w:rPr>
                <w:rFonts w:ascii="Calibri" w:hAnsi="Calibri"/>
              </w:rPr>
              <w:t>0,00</w:t>
            </w:r>
          </w:p>
        </w:tc>
        <w:tc>
          <w:tcPr>
            <w:tcW w:w="1054" w:type="dxa"/>
            <w:tcBorders>
              <w:bottom w:val="single" w:sz="4" w:space="0" w:color="auto"/>
            </w:tcBorders>
          </w:tcPr>
          <w:p w:rsidR="00084759" w:rsidRPr="005C0304" w:rsidRDefault="00084759" w:rsidP="00682765">
            <w:pPr>
              <w:rPr>
                <w:rFonts w:ascii="Calibri" w:hAnsi="Calibri"/>
              </w:rPr>
            </w:pPr>
            <w:r w:rsidRPr="005C0304">
              <w:rPr>
                <w:rFonts w:ascii="Calibri" w:hAnsi="Calibri"/>
              </w:rPr>
              <w:t>2 sztuki</w:t>
            </w:r>
          </w:p>
        </w:tc>
        <w:tc>
          <w:tcPr>
            <w:tcW w:w="989" w:type="dxa"/>
            <w:vMerge w:val="restart"/>
          </w:tcPr>
          <w:p w:rsidR="00084759" w:rsidRPr="005C0304" w:rsidRDefault="00084759" w:rsidP="004F2BFE">
            <w:pPr>
              <w:rPr>
                <w:rFonts w:ascii="Calibri" w:hAnsi="Calibri"/>
              </w:rPr>
            </w:pPr>
            <w:r w:rsidRPr="005C0304">
              <w:rPr>
                <w:rFonts w:ascii="Calibri" w:hAnsi="Calibri"/>
              </w:rPr>
              <w:t>90.000</w:t>
            </w:r>
          </w:p>
        </w:tc>
        <w:tc>
          <w:tcPr>
            <w:tcW w:w="827" w:type="dxa"/>
            <w:vMerge w:val="restart"/>
          </w:tcPr>
          <w:p w:rsidR="00084759" w:rsidRPr="004F2BFE" w:rsidRDefault="00084759" w:rsidP="004F2BFE">
            <w:pPr>
              <w:rPr>
                <w:rFonts w:ascii="Calibri" w:hAnsi="Calibri"/>
              </w:rPr>
            </w:pPr>
            <w:r w:rsidRPr="004F2BFE">
              <w:rPr>
                <w:rFonts w:ascii="Calibri" w:hAnsi="Calibri"/>
              </w:rPr>
              <w:t>PROW</w:t>
            </w:r>
          </w:p>
        </w:tc>
        <w:tc>
          <w:tcPr>
            <w:tcW w:w="1130" w:type="dxa"/>
            <w:vMerge w:val="restart"/>
          </w:tcPr>
          <w:p w:rsidR="00084759" w:rsidRPr="004F2BFE" w:rsidRDefault="00084759" w:rsidP="004F2BFE">
            <w:pPr>
              <w:rPr>
                <w:rFonts w:ascii="Calibri" w:hAnsi="Calibri"/>
              </w:rPr>
            </w:pPr>
            <w:r w:rsidRPr="004F2BFE">
              <w:rPr>
                <w:rFonts w:ascii="Calibri" w:hAnsi="Calibri"/>
              </w:rPr>
              <w:t>Współpraca</w:t>
            </w:r>
          </w:p>
        </w:tc>
      </w:tr>
      <w:tr w:rsidR="00084759" w:rsidRPr="004F2BFE" w:rsidTr="00B73968">
        <w:tc>
          <w:tcPr>
            <w:tcW w:w="851" w:type="dxa"/>
            <w:vMerge/>
          </w:tcPr>
          <w:p w:rsidR="00084759" w:rsidRPr="004F2BFE" w:rsidRDefault="00084759" w:rsidP="004F2BFE">
            <w:pPr>
              <w:rPr>
                <w:rFonts w:ascii="Calibri" w:hAnsi="Calibri"/>
              </w:rPr>
            </w:pPr>
          </w:p>
        </w:tc>
        <w:tc>
          <w:tcPr>
            <w:tcW w:w="2030" w:type="dxa"/>
            <w:gridSpan w:val="2"/>
          </w:tcPr>
          <w:p w:rsidR="00084759" w:rsidRPr="00BA0024" w:rsidRDefault="00084759" w:rsidP="004F2BFE">
            <w:pPr>
              <w:rPr>
                <w:rFonts w:ascii="Calibri" w:hAnsi="Calibri"/>
              </w:rPr>
            </w:pPr>
            <w:r w:rsidRPr="00BA0024">
              <w:rPr>
                <w:rFonts w:ascii="Calibri" w:hAnsi="Calibri"/>
              </w:rPr>
              <w:t>Liczba LGD uczestniczących w projektach współpracy</w:t>
            </w: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9</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Pr>
                <w:rFonts w:ascii="Calibri" w:hAnsi="Calibri"/>
              </w:rPr>
              <w:t>100</w:t>
            </w:r>
            <w:r w:rsidRPr="00BA0024">
              <w:rPr>
                <w:rFonts w:ascii="Calibri" w:hAnsi="Calibri"/>
              </w:rPr>
              <w:t>%</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sidRPr="00BA0024">
              <w:rPr>
                <w:rFonts w:ascii="Calibri" w:hAnsi="Calibri"/>
              </w:rPr>
              <w:t>0 sztuk</w:t>
            </w:r>
          </w:p>
        </w:tc>
        <w:tc>
          <w:tcPr>
            <w:tcW w:w="1024" w:type="dxa"/>
            <w:gridSpan w:val="2"/>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898" w:type="dxa"/>
            <w:tcBorders>
              <w:bottom w:val="single" w:sz="4" w:space="0" w:color="auto"/>
            </w:tcBorders>
          </w:tcPr>
          <w:p w:rsidR="00084759" w:rsidRPr="00BA0024" w:rsidRDefault="00084759" w:rsidP="004F2BFE">
            <w:pPr>
              <w:rPr>
                <w:rFonts w:ascii="Calibri" w:hAnsi="Calibri"/>
              </w:rPr>
            </w:pPr>
            <w:r>
              <w:rPr>
                <w:rFonts w:ascii="Calibri" w:hAnsi="Calibri"/>
              </w:rPr>
              <w:t>0</w:t>
            </w:r>
            <w:r w:rsidRPr="00BA0024">
              <w:rPr>
                <w:rFonts w:ascii="Calibri" w:hAnsi="Calibri"/>
              </w:rPr>
              <w:t xml:space="preserve"> sztuk</w:t>
            </w:r>
          </w:p>
        </w:tc>
        <w:tc>
          <w:tcPr>
            <w:tcW w:w="1024" w:type="dxa"/>
            <w:tcBorders>
              <w:bottom w:val="single" w:sz="4" w:space="0" w:color="auto"/>
            </w:tcBorders>
          </w:tcPr>
          <w:p w:rsidR="00084759" w:rsidRPr="00BA0024" w:rsidRDefault="00084759" w:rsidP="004F2BFE">
            <w:pPr>
              <w:rPr>
                <w:rFonts w:ascii="Calibri" w:hAnsi="Calibri"/>
              </w:rPr>
            </w:pPr>
            <w:r w:rsidRPr="00BA0024">
              <w:rPr>
                <w:rFonts w:ascii="Calibri" w:hAnsi="Calibri"/>
              </w:rPr>
              <w:t>100%</w:t>
            </w:r>
          </w:p>
        </w:tc>
        <w:tc>
          <w:tcPr>
            <w:tcW w:w="987" w:type="dxa"/>
            <w:vMerge/>
          </w:tcPr>
          <w:p w:rsidR="00084759" w:rsidRPr="00BA0024" w:rsidRDefault="00084759" w:rsidP="004F2BFE">
            <w:pPr>
              <w:rPr>
                <w:rFonts w:ascii="Calibri" w:hAnsi="Calibri"/>
              </w:rPr>
            </w:pPr>
          </w:p>
        </w:tc>
        <w:tc>
          <w:tcPr>
            <w:tcW w:w="1054" w:type="dxa"/>
            <w:tcBorders>
              <w:bottom w:val="single" w:sz="4" w:space="0" w:color="auto"/>
            </w:tcBorders>
          </w:tcPr>
          <w:p w:rsidR="00084759" w:rsidRPr="003B30F3" w:rsidRDefault="00084759" w:rsidP="004F2BFE">
            <w:pPr>
              <w:rPr>
                <w:rFonts w:ascii="Calibri" w:hAnsi="Calibri"/>
              </w:rPr>
            </w:pPr>
            <w:r w:rsidRPr="003B30F3">
              <w:rPr>
                <w:rFonts w:ascii="Calibri" w:hAnsi="Calibri"/>
              </w:rPr>
              <w:t>9 sztuk</w:t>
            </w:r>
          </w:p>
        </w:tc>
        <w:tc>
          <w:tcPr>
            <w:tcW w:w="989" w:type="dxa"/>
            <w:vMerge/>
          </w:tcPr>
          <w:p w:rsidR="00084759" w:rsidRPr="004F2BFE"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65750B">
        <w:tc>
          <w:tcPr>
            <w:tcW w:w="2881" w:type="dxa"/>
            <w:gridSpan w:val="3"/>
            <w:tcBorders>
              <w:bottom w:val="single" w:sz="4" w:space="0" w:color="auto"/>
            </w:tcBorders>
          </w:tcPr>
          <w:p w:rsidR="00084759" w:rsidRPr="00BA0024" w:rsidRDefault="00084759" w:rsidP="004F2BFE">
            <w:pPr>
              <w:rPr>
                <w:rFonts w:ascii="Calibri" w:hAnsi="Calibri"/>
                <w:b/>
              </w:rPr>
            </w:pPr>
            <w:r w:rsidRPr="00BA0024">
              <w:rPr>
                <w:rFonts w:ascii="Calibri" w:hAnsi="Calibri"/>
                <w:b/>
              </w:rPr>
              <w:t>Razem cel szczegółowy 1</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1.182.860</w:t>
            </w:r>
          </w:p>
        </w:tc>
        <w:tc>
          <w:tcPr>
            <w:tcW w:w="1922" w:type="dxa"/>
            <w:gridSpan w:val="3"/>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4F2BFE">
            <w:pPr>
              <w:rPr>
                <w:rFonts w:ascii="Calibri" w:hAnsi="Calibri"/>
                <w:b/>
              </w:rPr>
            </w:pPr>
            <w:r w:rsidRPr="00BA0024">
              <w:rPr>
                <w:rFonts w:ascii="Calibri" w:hAnsi="Calibri"/>
                <w:b/>
              </w:rPr>
              <w:t>150.000</w:t>
            </w:r>
          </w:p>
        </w:tc>
        <w:tc>
          <w:tcPr>
            <w:tcW w:w="1922" w:type="dxa"/>
            <w:gridSpan w:val="2"/>
            <w:tcBorders>
              <w:bottom w:val="single" w:sz="4" w:space="0" w:color="auto"/>
            </w:tcBorders>
            <w:shd w:val="clear" w:color="auto" w:fill="0070C0"/>
          </w:tcPr>
          <w:p w:rsidR="00084759" w:rsidRPr="00BA0024" w:rsidRDefault="00084759" w:rsidP="004F2BFE">
            <w:pPr>
              <w:rPr>
                <w:rFonts w:ascii="Calibri" w:hAnsi="Calibri"/>
                <w:b/>
              </w:rPr>
            </w:pPr>
          </w:p>
        </w:tc>
        <w:tc>
          <w:tcPr>
            <w:tcW w:w="987" w:type="dxa"/>
            <w:tcBorders>
              <w:bottom w:val="single" w:sz="4" w:space="0" w:color="auto"/>
            </w:tcBorders>
          </w:tcPr>
          <w:p w:rsidR="00084759" w:rsidRPr="00BA0024" w:rsidRDefault="00084759" w:rsidP="00682765">
            <w:pPr>
              <w:rPr>
                <w:rFonts w:ascii="Calibri" w:hAnsi="Calibri"/>
                <w:b/>
                <w:strike/>
              </w:rPr>
            </w:pPr>
            <w:r w:rsidRPr="00BA0024">
              <w:rPr>
                <w:rFonts w:ascii="Calibri" w:hAnsi="Calibri"/>
                <w:b/>
              </w:rPr>
              <w:t>0,00</w:t>
            </w:r>
          </w:p>
        </w:tc>
        <w:tc>
          <w:tcPr>
            <w:tcW w:w="1054" w:type="dxa"/>
            <w:tcBorders>
              <w:bottom w:val="single" w:sz="4" w:space="0" w:color="auto"/>
            </w:tcBorders>
            <w:shd w:val="clear" w:color="auto" w:fill="0070C0"/>
          </w:tcPr>
          <w:p w:rsidR="00084759" w:rsidRPr="005D154E" w:rsidRDefault="00084759" w:rsidP="004F2BFE">
            <w:pPr>
              <w:rPr>
                <w:rFonts w:ascii="Calibri" w:hAnsi="Calibri"/>
                <w:b/>
              </w:rPr>
            </w:pPr>
          </w:p>
        </w:tc>
        <w:tc>
          <w:tcPr>
            <w:tcW w:w="989" w:type="dxa"/>
            <w:tcBorders>
              <w:bottom w:val="single" w:sz="4" w:space="0" w:color="auto"/>
            </w:tcBorders>
          </w:tcPr>
          <w:p w:rsidR="00084759" w:rsidRPr="005D154E" w:rsidRDefault="00084759" w:rsidP="00FA1B5A">
            <w:pPr>
              <w:rPr>
                <w:rFonts w:ascii="Calibri" w:hAnsi="Calibri"/>
                <w:b/>
              </w:rPr>
            </w:pPr>
            <w:r w:rsidRPr="005D154E">
              <w:rPr>
                <w:rFonts w:ascii="Calibri" w:hAnsi="Calibri"/>
                <w:b/>
              </w:rPr>
              <w:t>1.332.860</w:t>
            </w:r>
          </w:p>
        </w:tc>
        <w:tc>
          <w:tcPr>
            <w:tcW w:w="1957" w:type="dxa"/>
            <w:gridSpan w:val="2"/>
            <w:tcBorders>
              <w:bottom w:val="single" w:sz="4" w:space="0" w:color="auto"/>
            </w:tcBorders>
            <w:shd w:val="clear" w:color="auto" w:fill="0070C0"/>
          </w:tcPr>
          <w:p w:rsidR="00084759" w:rsidRPr="004F2BFE" w:rsidRDefault="00084759" w:rsidP="004F2BFE">
            <w:pPr>
              <w:rPr>
                <w:rFonts w:ascii="Calibri" w:hAnsi="Calibri"/>
                <w:b/>
              </w:rPr>
            </w:pPr>
          </w:p>
        </w:tc>
      </w:tr>
      <w:tr w:rsidR="00084759" w:rsidRPr="0065750B" w:rsidTr="0065750B">
        <w:tc>
          <w:tcPr>
            <w:tcW w:w="15608" w:type="dxa"/>
            <w:gridSpan w:val="17"/>
            <w:shd w:val="clear" w:color="auto" w:fill="548DD4" w:themeFill="text2" w:themeFillTint="99"/>
          </w:tcPr>
          <w:p w:rsidR="00084759" w:rsidRPr="0065750B" w:rsidRDefault="00084759" w:rsidP="004F2BFE">
            <w:pPr>
              <w:rPr>
                <w:rFonts w:ascii="Calibri" w:hAnsi="Calibri"/>
                <w:b/>
                <w:color w:val="FFFFFF" w:themeColor="background1"/>
              </w:rPr>
            </w:pPr>
            <w:r w:rsidRPr="0065750B">
              <w:rPr>
                <w:rFonts w:ascii="Calibri" w:hAnsi="Calibri"/>
                <w:b/>
                <w:color w:val="FFFFFF" w:themeColor="background1"/>
              </w:rPr>
              <w:t>Cel szczegółowy 2</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3.2.1</w:t>
            </w:r>
          </w:p>
        </w:tc>
        <w:tc>
          <w:tcPr>
            <w:tcW w:w="1985" w:type="dxa"/>
          </w:tcPr>
          <w:p w:rsidR="00084759" w:rsidRPr="004F2BFE" w:rsidRDefault="00084759" w:rsidP="004F2BFE">
            <w:pPr>
              <w:rPr>
                <w:rFonts w:ascii="Calibri" w:hAnsi="Calibri"/>
              </w:rPr>
            </w:pPr>
            <w:r w:rsidRPr="004F2BFE">
              <w:rPr>
                <w:rFonts w:ascii="Calibri" w:hAnsi="Calibri"/>
              </w:rPr>
              <w:t>Liczba operacji w zakresie infras</w:t>
            </w:r>
            <w:r>
              <w:rPr>
                <w:rFonts w:ascii="Calibri" w:hAnsi="Calibri"/>
              </w:rPr>
              <w:t>truktury drogowej w </w:t>
            </w:r>
            <w:r w:rsidRPr="004F2BFE">
              <w:rPr>
                <w:rFonts w:ascii="Calibri" w:hAnsi="Calibri"/>
              </w:rPr>
              <w:t>zakresie włączenia społecznego</w:t>
            </w:r>
          </w:p>
        </w:tc>
        <w:tc>
          <w:tcPr>
            <w:tcW w:w="943" w:type="dxa"/>
            <w:gridSpan w:val="2"/>
          </w:tcPr>
          <w:p w:rsidR="00084759" w:rsidRPr="00AB2B5E" w:rsidRDefault="00084759" w:rsidP="004F2BFE">
            <w:pPr>
              <w:rPr>
                <w:rFonts w:ascii="Calibri" w:hAnsi="Calibri"/>
              </w:rPr>
            </w:pPr>
            <w:r w:rsidRPr="00AB2B5E">
              <w:rPr>
                <w:rFonts w:ascii="Calibri" w:hAnsi="Calibri"/>
              </w:rPr>
              <w:t>5 sztuk</w:t>
            </w:r>
          </w:p>
        </w:tc>
        <w:tc>
          <w:tcPr>
            <w:tcW w:w="1024" w:type="dxa"/>
          </w:tcPr>
          <w:p w:rsidR="00084759" w:rsidRPr="00AB2B5E" w:rsidRDefault="00084759" w:rsidP="004F2BFE">
            <w:pPr>
              <w:rPr>
                <w:rFonts w:ascii="Calibri" w:hAnsi="Calibri"/>
              </w:rPr>
            </w:pPr>
            <w:r w:rsidRPr="00AB2B5E">
              <w:rPr>
                <w:rFonts w:ascii="Calibri" w:hAnsi="Calibri"/>
              </w:rPr>
              <w:t>62,50%</w:t>
            </w:r>
          </w:p>
        </w:tc>
        <w:tc>
          <w:tcPr>
            <w:tcW w:w="987" w:type="dxa"/>
            <w:vMerge w:val="restart"/>
          </w:tcPr>
          <w:p w:rsidR="00084759" w:rsidRPr="00AB2B5E" w:rsidRDefault="00084759" w:rsidP="00682765">
            <w:pPr>
              <w:rPr>
                <w:rFonts w:ascii="Calibri" w:hAnsi="Calibri"/>
              </w:rPr>
            </w:pPr>
            <w:r w:rsidRPr="00AB2B5E">
              <w:rPr>
                <w:rFonts w:ascii="Calibri" w:hAnsi="Calibri"/>
              </w:rPr>
              <w:t>1.092.855</w:t>
            </w:r>
          </w:p>
        </w:tc>
        <w:tc>
          <w:tcPr>
            <w:tcW w:w="1015" w:type="dxa"/>
            <w:gridSpan w:val="2"/>
          </w:tcPr>
          <w:p w:rsidR="00084759" w:rsidRPr="00AB2B5E" w:rsidRDefault="00084759" w:rsidP="004F2BFE">
            <w:pPr>
              <w:rPr>
                <w:rFonts w:ascii="Calibri" w:hAnsi="Calibri"/>
              </w:rPr>
            </w:pPr>
            <w:r w:rsidRPr="00AB2B5E">
              <w:rPr>
                <w:rFonts w:ascii="Calibri" w:hAnsi="Calibri"/>
              </w:rPr>
              <w:t>3 sztuki</w:t>
            </w:r>
          </w:p>
        </w:tc>
        <w:tc>
          <w:tcPr>
            <w:tcW w:w="907"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682765">
            <w:pPr>
              <w:rPr>
                <w:rFonts w:ascii="Calibri" w:hAnsi="Calibri"/>
              </w:rPr>
            </w:pPr>
            <w:r w:rsidRPr="00AB2B5E">
              <w:rPr>
                <w:rFonts w:ascii="Calibri" w:hAnsi="Calibri"/>
              </w:rPr>
              <w:t>364.285</w:t>
            </w:r>
          </w:p>
        </w:tc>
        <w:tc>
          <w:tcPr>
            <w:tcW w:w="898" w:type="dxa"/>
          </w:tcPr>
          <w:p w:rsidR="00084759" w:rsidRPr="00AB2B5E" w:rsidRDefault="00084759" w:rsidP="004F2BFE">
            <w:pPr>
              <w:rPr>
                <w:rFonts w:ascii="Calibri" w:hAnsi="Calibri"/>
              </w:rPr>
            </w:pPr>
            <w:r w:rsidRPr="00AB2B5E">
              <w:rPr>
                <w:rFonts w:ascii="Calibri" w:hAnsi="Calibri"/>
              </w:rPr>
              <w:t>0 sztuk</w:t>
            </w:r>
          </w:p>
        </w:tc>
        <w:tc>
          <w:tcPr>
            <w:tcW w:w="1024" w:type="dxa"/>
          </w:tcPr>
          <w:p w:rsidR="00084759" w:rsidRPr="00AB2B5E" w:rsidRDefault="00084759" w:rsidP="004F2BFE">
            <w:pPr>
              <w:rPr>
                <w:rFonts w:ascii="Calibri" w:hAnsi="Calibri"/>
              </w:rPr>
            </w:pPr>
            <w:r w:rsidRPr="00AB2B5E">
              <w:rPr>
                <w:rFonts w:ascii="Calibri" w:hAnsi="Calibri"/>
              </w:rPr>
              <w:t>100%</w:t>
            </w:r>
          </w:p>
        </w:tc>
        <w:tc>
          <w:tcPr>
            <w:tcW w:w="987" w:type="dxa"/>
            <w:vMerge w:val="restart"/>
          </w:tcPr>
          <w:p w:rsidR="00084759" w:rsidRPr="00AB2B5E" w:rsidRDefault="00084759" w:rsidP="004F2BFE">
            <w:pPr>
              <w:rPr>
                <w:rFonts w:ascii="Calibri" w:hAnsi="Calibri"/>
              </w:rPr>
            </w:pPr>
            <w:r w:rsidRPr="00AB2B5E">
              <w:rPr>
                <w:rFonts w:ascii="Calibri" w:hAnsi="Calibri"/>
              </w:rPr>
              <w:t>0,00</w:t>
            </w:r>
          </w:p>
        </w:tc>
        <w:tc>
          <w:tcPr>
            <w:tcW w:w="1054" w:type="dxa"/>
          </w:tcPr>
          <w:p w:rsidR="00084759" w:rsidRPr="00AB2B5E" w:rsidRDefault="00084759" w:rsidP="004F2BFE">
            <w:pPr>
              <w:rPr>
                <w:rFonts w:ascii="Calibri" w:hAnsi="Calibri"/>
              </w:rPr>
            </w:pPr>
            <w:r w:rsidRPr="00AB2B5E">
              <w:rPr>
                <w:rFonts w:ascii="Calibri" w:hAnsi="Calibri"/>
              </w:rPr>
              <w:t>8 sztuk</w:t>
            </w:r>
          </w:p>
        </w:tc>
        <w:tc>
          <w:tcPr>
            <w:tcW w:w="989" w:type="dxa"/>
            <w:vMerge w:val="restart"/>
          </w:tcPr>
          <w:p w:rsidR="00084759" w:rsidRPr="00360495" w:rsidRDefault="00084759" w:rsidP="004F2BFE">
            <w:pPr>
              <w:rPr>
                <w:rFonts w:ascii="Calibri" w:hAnsi="Calibri"/>
              </w:rPr>
            </w:pPr>
            <w:r w:rsidRPr="00360495">
              <w:rPr>
                <w:rFonts w:ascii="Calibri" w:hAnsi="Calibri"/>
              </w:rPr>
              <w:t>1.457.140</w:t>
            </w:r>
          </w:p>
        </w:tc>
        <w:tc>
          <w:tcPr>
            <w:tcW w:w="827" w:type="dxa"/>
          </w:tcPr>
          <w:p w:rsidR="00084759" w:rsidRPr="004F2BFE" w:rsidRDefault="00084759" w:rsidP="004F2BFE">
            <w:pPr>
              <w:rPr>
                <w:rFonts w:ascii="Calibri" w:hAnsi="Calibri"/>
              </w:rPr>
            </w:pPr>
            <w:r w:rsidRPr="004F2BFE">
              <w:rPr>
                <w:rFonts w:ascii="Calibri" w:hAnsi="Calibri"/>
              </w:rPr>
              <w:t>PROW</w:t>
            </w:r>
          </w:p>
        </w:tc>
        <w:tc>
          <w:tcPr>
            <w:tcW w:w="1130" w:type="dxa"/>
          </w:tcPr>
          <w:p w:rsidR="00084759" w:rsidRPr="004F2BFE" w:rsidRDefault="00084759" w:rsidP="004F2BFE">
            <w:pPr>
              <w:rPr>
                <w:rFonts w:ascii="Calibri" w:hAnsi="Calibri"/>
              </w:rPr>
            </w:pPr>
            <w:r w:rsidRPr="004F2BFE">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084759" w:rsidRPr="004E4887" w:rsidRDefault="008D1EAE" w:rsidP="004F2BFE">
            <w:pPr>
              <w:rPr>
                <w:rFonts w:ascii="Calibri" w:hAnsi="Calibri"/>
              </w:rPr>
            </w:pPr>
            <w:r w:rsidRPr="004E4887">
              <w:rPr>
                <w:rFonts w:ascii="Calibri" w:hAnsi="Calibri"/>
              </w:rPr>
              <w:t xml:space="preserve">3,5 </w:t>
            </w:r>
            <w:r w:rsidR="00084759" w:rsidRPr="004E4887">
              <w:rPr>
                <w:rFonts w:ascii="Calibri" w:hAnsi="Calibri"/>
              </w:rPr>
              <w:t>km</w:t>
            </w:r>
          </w:p>
        </w:tc>
        <w:tc>
          <w:tcPr>
            <w:tcW w:w="1024" w:type="dxa"/>
          </w:tcPr>
          <w:p w:rsidR="00084759" w:rsidRPr="004E4887" w:rsidRDefault="008D1EAE" w:rsidP="004F2BFE">
            <w:pPr>
              <w:rPr>
                <w:rFonts w:ascii="Calibri" w:hAnsi="Calibri"/>
              </w:rPr>
            </w:pPr>
            <w:r w:rsidRPr="004E4887">
              <w:rPr>
                <w:rFonts w:ascii="Calibri" w:hAnsi="Calibri"/>
              </w:rPr>
              <w:t>78%</w:t>
            </w:r>
          </w:p>
        </w:tc>
        <w:tc>
          <w:tcPr>
            <w:tcW w:w="987" w:type="dxa"/>
            <w:vMerge/>
          </w:tcPr>
          <w:p w:rsidR="00084759" w:rsidRPr="004E4887" w:rsidRDefault="00084759" w:rsidP="004F2BFE">
            <w:pPr>
              <w:rPr>
                <w:rFonts w:ascii="Calibri" w:hAnsi="Calibri"/>
              </w:rPr>
            </w:pPr>
          </w:p>
        </w:tc>
        <w:tc>
          <w:tcPr>
            <w:tcW w:w="1015" w:type="dxa"/>
            <w:gridSpan w:val="2"/>
          </w:tcPr>
          <w:p w:rsidR="00084759" w:rsidRPr="004E4887" w:rsidRDefault="008D1EAE" w:rsidP="004F2BFE">
            <w:pPr>
              <w:rPr>
                <w:rFonts w:ascii="Calibri" w:hAnsi="Calibri"/>
              </w:rPr>
            </w:pPr>
            <w:r w:rsidRPr="004E4887">
              <w:rPr>
                <w:rFonts w:ascii="Calibri" w:hAnsi="Calibri"/>
              </w:rPr>
              <w:t xml:space="preserve">1 </w:t>
            </w:r>
            <w:r w:rsidR="00084759" w:rsidRPr="004E4887">
              <w:rPr>
                <w:rFonts w:ascii="Calibri" w:hAnsi="Calibri"/>
              </w:rPr>
              <w:t>km</w:t>
            </w:r>
          </w:p>
        </w:tc>
        <w:tc>
          <w:tcPr>
            <w:tcW w:w="907"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898" w:type="dxa"/>
          </w:tcPr>
          <w:p w:rsidR="00084759" w:rsidRPr="004E4887" w:rsidRDefault="00084759" w:rsidP="004F2BFE">
            <w:pPr>
              <w:rPr>
                <w:rFonts w:ascii="Calibri" w:hAnsi="Calibri"/>
              </w:rPr>
            </w:pPr>
            <w:r w:rsidRPr="004E4887">
              <w:rPr>
                <w:rFonts w:ascii="Calibri" w:hAnsi="Calibri"/>
              </w:rPr>
              <w:t>0 km</w:t>
            </w:r>
          </w:p>
        </w:tc>
        <w:tc>
          <w:tcPr>
            <w:tcW w:w="1024" w:type="dxa"/>
          </w:tcPr>
          <w:p w:rsidR="00084759" w:rsidRPr="004E4887" w:rsidRDefault="00084759" w:rsidP="004F2BFE">
            <w:pPr>
              <w:rPr>
                <w:rFonts w:ascii="Calibri" w:hAnsi="Calibri"/>
              </w:rPr>
            </w:pPr>
            <w:r w:rsidRPr="004E4887">
              <w:rPr>
                <w:rFonts w:ascii="Calibri" w:hAnsi="Calibri"/>
              </w:rPr>
              <w:t>100%</w:t>
            </w:r>
          </w:p>
        </w:tc>
        <w:tc>
          <w:tcPr>
            <w:tcW w:w="987" w:type="dxa"/>
            <w:vMerge/>
          </w:tcPr>
          <w:p w:rsidR="00084759" w:rsidRPr="004E4887" w:rsidRDefault="00084759" w:rsidP="004F2BFE">
            <w:pPr>
              <w:rPr>
                <w:rFonts w:ascii="Calibri" w:hAnsi="Calibri"/>
              </w:rPr>
            </w:pPr>
          </w:p>
        </w:tc>
        <w:tc>
          <w:tcPr>
            <w:tcW w:w="1054" w:type="dxa"/>
          </w:tcPr>
          <w:p w:rsidR="00084759" w:rsidRPr="004E4887" w:rsidRDefault="008D1EAE" w:rsidP="004F2BFE">
            <w:pPr>
              <w:rPr>
                <w:rFonts w:ascii="Calibri" w:hAnsi="Calibri"/>
              </w:rPr>
            </w:pPr>
            <w:r w:rsidRPr="004E4887">
              <w:rPr>
                <w:rFonts w:ascii="Calibri" w:hAnsi="Calibri"/>
              </w:rPr>
              <w:t xml:space="preserve">4,5 </w:t>
            </w:r>
            <w:r w:rsidR="00084759" w:rsidRPr="004E4887">
              <w:rPr>
                <w:rFonts w:ascii="Calibri" w:hAnsi="Calibri"/>
              </w:rPr>
              <w:t>km</w:t>
            </w:r>
          </w:p>
        </w:tc>
        <w:tc>
          <w:tcPr>
            <w:tcW w:w="989" w:type="dxa"/>
            <w:vMerge/>
          </w:tcPr>
          <w:p w:rsidR="00084759" w:rsidRPr="0094529A" w:rsidRDefault="00084759" w:rsidP="004F2BFE">
            <w:pPr>
              <w:rPr>
                <w:rFonts w:ascii="Calibri" w:hAnsi="Calibri"/>
              </w:rPr>
            </w:pPr>
          </w:p>
        </w:tc>
        <w:tc>
          <w:tcPr>
            <w:tcW w:w="827" w:type="dxa"/>
          </w:tcPr>
          <w:p w:rsidR="00084759" w:rsidRPr="0094529A" w:rsidRDefault="00084759" w:rsidP="004F2BFE">
            <w:pPr>
              <w:rPr>
                <w:rFonts w:ascii="Calibri" w:hAnsi="Calibri"/>
              </w:rPr>
            </w:pPr>
            <w:r w:rsidRPr="0094529A">
              <w:rPr>
                <w:rFonts w:ascii="Calibri" w:hAnsi="Calibri"/>
              </w:rPr>
              <w:t>PROW</w:t>
            </w:r>
          </w:p>
        </w:tc>
        <w:tc>
          <w:tcPr>
            <w:tcW w:w="1130" w:type="dxa"/>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val="restart"/>
          </w:tcPr>
          <w:p w:rsidR="00084759" w:rsidRPr="004F2BFE" w:rsidRDefault="00084759" w:rsidP="004F2BFE">
            <w:pPr>
              <w:rPr>
                <w:rFonts w:ascii="Calibri" w:hAnsi="Calibri"/>
              </w:rPr>
            </w:pPr>
            <w:r w:rsidRPr="004F2BFE">
              <w:rPr>
                <w:rFonts w:ascii="Calibri" w:hAnsi="Calibri"/>
              </w:rPr>
              <w:t>Przedsięwzięcie 3.</w:t>
            </w:r>
            <w:r>
              <w:rPr>
                <w:rFonts w:ascii="Calibri" w:hAnsi="Calibri"/>
              </w:rPr>
              <w:t>2.2</w:t>
            </w:r>
          </w:p>
        </w:tc>
        <w:tc>
          <w:tcPr>
            <w:tcW w:w="1985" w:type="dxa"/>
          </w:tcPr>
          <w:p w:rsidR="00084759" w:rsidRPr="004F2BFE" w:rsidRDefault="00084759" w:rsidP="004F2BFE">
            <w:pPr>
              <w:rPr>
                <w:rFonts w:ascii="Calibri" w:hAnsi="Calibri"/>
              </w:rPr>
            </w:pPr>
            <w:r w:rsidRPr="004F2BFE">
              <w:rPr>
                <w:rFonts w:ascii="Calibri" w:hAnsi="Calibri"/>
              </w:rPr>
              <w:t xml:space="preserve">Liczba obiektów infrastruktury zlokalizowanych na </w:t>
            </w:r>
            <w:proofErr w:type="spellStart"/>
            <w:r w:rsidRPr="004F2BFE">
              <w:rPr>
                <w:rFonts w:ascii="Calibri" w:hAnsi="Calibri"/>
              </w:rPr>
              <w:t>rewitalizowanych</w:t>
            </w:r>
            <w:proofErr w:type="spellEnd"/>
            <w:r w:rsidRPr="004F2BFE">
              <w:rPr>
                <w:rFonts w:ascii="Calibri" w:hAnsi="Calibri"/>
              </w:rPr>
              <w:t xml:space="preserve"> obszarach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2 sztuki</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15%</w:t>
            </w:r>
          </w:p>
        </w:tc>
        <w:tc>
          <w:tcPr>
            <w:tcW w:w="987" w:type="dxa"/>
            <w:vMerge w:val="restart"/>
          </w:tcPr>
          <w:p w:rsidR="00084759" w:rsidRPr="00F85975" w:rsidRDefault="0001635A" w:rsidP="005962AA">
            <w:pPr>
              <w:rPr>
                <w:rFonts w:ascii="Calibri" w:hAnsi="Calibri"/>
              </w:rPr>
            </w:pPr>
            <w:r w:rsidRPr="00F85975">
              <w:rPr>
                <w:rFonts w:ascii="Calibri" w:hAnsi="Calibri"/>
              </w:rPr>
              <w:t>532.687,68</w:t>
            </w:r>
          </w:p>
        </w:tc>
        <w:tc>
          <w:tcPr>
            <w:tcW w:w="1015" w:type="dxa"/>
            <w:gridSpan w:val="2"/>
            <w:tcBorders>
              <w:bottom w:val="single" w:sz="4" w:space="0" w:color="auto"/>
            </w:tcBorders>
          </w:tcPr>
          <w:p w:rsidR="00084759" w:rsidRPr="00F85975" w:rsidRDefault="0001635A" w:rsidP="00682765">
            <w:pPr>
              <w:rPr>
                <w:rFonts w:ascii="Calibri" w:hAnsi="Calibri"/>
              </w:rPr>
            </w:pPr>
            <w:r w:rsidRPr="00F85975">
              <w:rPr>
                <w:rFonts w:ascii="Calibri" w:hAnsi="Calibri"/>
              </w:rPr>
              <w:t>10 sztuk</w:t>
            </w:r>
          </w:p>
        </w:tc>
        <w:tc>
          <w:tcPr>
            <w:tcW w:w="907" w:type="dxa"/>
            <w:tcBorders>
              <w:bottom w:val="single" w:sz="4" w:space="0" w:color="auto"/>
            </w:tcBorders>
          </w:tcPr>
          <w:p w:rsidR="00084759" w:rsidRPr="00F85975" w:rsidRDefault="008D1EAE" w:rsidP="004F2BFE">
            <w:pPr>
              <w:rPr>
                <w:rFonts w:ascii="Calibri" w:hAnsi="Calibri"/>
              </w:rPr>
            </w:pPr>
            <w:r w:rsidRPr="00F85975">
              <w:rPr>
                <w:rFonts w:ascii="Calibri" w:hAnsi="Calibri"/>
              </w:rPr>
              <w:t>92%</w:t>
            </w:r>
          </w:p>
        </w:tc>
        <w:tc>
          <w:tcPr>
            <w:tcW w:w="987" w:type="dxa"/>
            <w:vMerge w:val="restart"/>
          </w:tcPr>
          <w:p w:rsidR="00084759" w:rsidRPr="001D7B86" w:rsidRDefault="006A6E47" w:rsidP="00A14DA6">
            <w:pPr>
              <w:rPr>
                <w:rFonts w:ascii="Calibri" w:hAnsi="Calibri"/>
              </w:rPr>
            </w:pPr>
            <w:r w:rsidRPr="001D7B86">
              <w:rPr>
                <w:rFonts w:ascii="Calibri" w:hAnsi="Calibri"/>
              </w:rPr>
              <w:t>4.</w:t>
            </w:r>
            <w:r w:rsidR="00A14DA6" w:rsidRPr="001D7B86">
              <w:rPr>
                <w:rFonts w:ascii="Calibri" w:hAnsi="Calibri"/>
              </w:rPr>
              <w:t>41</w:t>
            </w:r>
            <w:r w:rsidRPr="001D7B86">
              <w:rPr>
                <w:rFonts w:ascii="Calibri" w:hAnsi="Calibri"/>
              </w:rPr>
              <w:t>7.312,32</w:t>
            </w:r>
          </w:p>
        </w:tc>
        <w:tc>
          <w:tcPr>
            <w:tcW w:w="898" w:type="dxa"/>
            <w:tcBorders>
              <w:bottom w:val="single" w:sz="4" w:space="0" w:color="auto"/>
            </w:tcBorders>
          </w:tcPr>
          <w:p w:rsidR="00084759" w:rsidRPr="001D7B86" w:rsidRDefault="00157E27" w:rsidP="004F2BFE">
            <w:pPr>
              <w:rPr>
                <w:rFonts w:ascii="Calibri" w:hAnsi="Calibri"/>
              </w:rPr>
            </w:pPr>
            <w:r w:rsidRPr="001D7B86">
              <w:rPr>
                <w:rFonts w:ascii="Calibri" w:hAnsi="Calibri"/>
              </w:rPr>
              <w:t xml:space="preserve">1 </w:t>
            </w:r>
            <w:r w:rsidR="00084759" w:rsidRPr="001D7B86">
              <w:rPr>
                <w:rFonts w:ascii="Calibri" w:hAnsi="Calibri"/>
              </w:rPr>
              <w:t>sztuk</w:t>
            </w:r>
            <w:r w:rsidRPr="001D7B86">
              <w:rPr>
                <w:rFonts w:ascii="Calibri" w:hAnsi="Calibri"/>
              </w:rPr>
              <w:t>a</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val="restart"/>
          </w:tcPr>
          <w:p w:rsidR="00084759" w:rsidRPr="001D7B86" w:rsidRDefault="00084759" w:rsidP="004F2BFE">
            <w:pPr>
              <w:rPr>
                <w:rFonts w:ascii="Calibri" w:hAnsi="Calibri"/>
              </w:rPr>
            </w:pPr>
            <w:r w:rsidRPr="001D7B86">
              <w:rPr>
                <w:rFonts w:ascii="Calibri" w:hAnsi="Calibri"/>
              </w:rPr>
              <w:t>300.000</w:t>
            </w:r>
          </w:p>
        </w:tc>
        <w:tc>
          <w:tcPr>
            <w:tcW w:w="1054" w:type="dxa"/>
            <w:tcBorders>
              <w:bottom w:val="single" w:sz="4" w:space="0" w:color="auto"/>
            </w:tcBorders>
          </w:tcPr>
          <w:p w:rsidR="00084759" w:rsidRPr="001D7B86" w:rsidRDefault="00215C13" w:rsidP="00215C13">
            <w:pPr>
              <w:rPr>
                <w:rFonts w:ascii="Calibri" w:hAnsi="Calibri"/>
                <w:strike/>
              </w:rPr>
            </w:pPr>
            <w:r w:rsidRPr="001D7B86">
              <w:rPr>
                <w:rFonts w:ascii="Calibri" w:hAnsi="Calibri"/>
              </w:rPr>
              <w:t xml:space="preserve">13 </w:t>
            </w:r>
            <w:r w:rsidR="00084759" w:rsidRPr="001D7B86">
              <w:rPr>
                <w:rFonts w:ascii="Calibri" w:hAnsi="Calibri"/>
              </w:rPr>
              <w:t>sztuk</w:t>
            </w:r>
          </w:p>
        </w:tc>
        <w:tc>
          <w:tcPr>
            <w:tcW w:w="989" w:type="dxa"/>
            <w:vMerge w:val="restart"/>
          </w:tcPr>
          <w:p w:rsidR="00084759" w:rsidRPr="001D7B86" w:rsidRDefault="004050C4" w:rsidP="00A14DA6">
            <w:pPr>
              <w:rPr>
                <w:rFonts w:ascii="Calibri" w:hAnsi="Calibri"/>
              </w:rPr>
            </w:pPr>
            <w:r w:rsidRPr="001D7B86">
              <w:rPr>
                <w:rFonts w:ascii="Calibri" w:hAnsi="Calibri"/>
              </w:rPr>
              <w:t>5.</w:t>
            </w:r>
            <w:r w:rsidR="00A14DA6" w:rsidRPr="001D7B86">
              <w:rPr>
                <w:rFonts w:ascii="Calibri" w:hAnsi="Calibri"/>
              </w:rPr>
              <w:t>25</w:t>
            </w:r>
            <w:r w:rsidRPr="001D7B86">
              <w:rPr>
                <w:rFonts w:ascii="Calibri" w:hAnsi="Calibri"/>
              </w:rPr>
              <w:t>0.000</w:t>
            </w:r>
          </w:p>
        </w:tc>
        <w:tc>
          <w:tcPr>
            <w:tcW w:w="827" w:type="dxa"/>
            <w:vMerge w:val="restart"/>
          </w:tcPr>
          <w:p w:rsidR="00084759" w:rsidRPr="0094529A" w:rsidRDefault="00084759" w:rsidP="004F2BFE">
            <w:pPr>
              <w:rPr>
                <w:rFonts w:ascii="Calibri" w:hAnsi="Calibri"/>
              </w:rPr>
            </w:pPr>
            <w:r w:rsidRPr="0094529A">
              <w:rPr>
                <w:rFonts w:ascii="Calibri" w:hAnsi="Calibri"/>
              </w:rPr>
              <w:t>RPO</w:t>
            </w:r>
          </w:p>
        </w:tc>
        <w:tc>
          <w:tcPr>
            <w:tcW w:w="1130" w:type="dxa"/>
            <w:vMerge w:val="restart"/>
          </w:tcPr>
          <w:p w:rsidR="00084759" w:rsidRPr="0094529A" w:rsidRDefault="00084759" w:rsidP="004F2BFE">
            <w:pPr>
              <w:rPr>
                <w:rFonts w:ascii="Calibri" w:hAnsi="Calibri"/>
              </w:rPr>
            </w:pPr>
            <w:r w:rsidRPr="0094529A">
              <w:rPr>
                <w:rFonts w:ascii="Calibri" w:hAnsi="Calibri"/>
              </w:rPr>
              <w:t>Realizacja LSR</w:t>
            </w: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Powierzchnia obszarów objętych rewitalizacją</w:t>
            </w:r>
          </w:p>
        </w:tc>
        <w:tc>
          <w:tcPr>
            <w:tcW w:w="943" w:type="dxa"/>
            <w:gridSpan w:val="2"/>
            <w:tcBorders>
              <w:bottom w:val="single" w:sz="4" w:space="0" w:color="auto"/>
            </w:tcBorders>
          </w:tcPr>
          <w:p w:rsidR="00951742" w:rsidRPr="00F85975" w:rsidRDefault="00281077" w:rsidP="00682765">
            <w:pPr>
              <w:rPr>
                <w:rFonts w:ascii="Calibri" w:hAnsi="Calibri"/>
                <w:vertAlign w:val="superscript"/>
              </w:rPr>
            </w:pPr>
            <w:r w:rsidRPr="00F85975">
              <w:rPr>
                <w:rFonts w:ascii="Calibri" w:hAnsi="Calibri"/>
              </w:rPr>
              <w:t>0,46 ha</w:t>
            </w:r>
          </w:p>
        </w:tc>
        <w:tc>
          <w:tcPr>
            <w:tcW w:w="1024" w:type="dxa"/>
            <w:tcBorders>
              <w:bottom w:val="single" w:sz="4" w:space="0" w:color="auto"/>
            </w:tcBorders>
          </w:tcPr>
          <w:p w:rsidR="00084759" w:rsidRPr="00F85975" w:rsidRDefault="00281077" w:rsidP="004F2BFE">
            <w:pPr>
              <w:rPr>
                <w:rFonts w:ascii="Calibri" w:hAnsi="Calibri"/>
              </w:rPr>
            </w:pPr>
            <w:r w:rsidRPr="00F85975">
              <w:rPr>
                <w:rFonts w:ascii="Calibri" w:hAnsi="Calibri"/>
              </w:rPr>
              <w:t>11%</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5A133D" w:rsidRPr="00F85975" w:rsidRDefault="0001635A" w:rsidP="00682765">
            <w:pPr>
              <w:rPr>
                <w:rFonts w:ascii="Calibri" w:hAnsi="Calibri"/>
                <w:vertAlign w:val="superscript"/>
              </w:rPr>
            </w:pPr>
            <w:r w:rsidRPr="00F85975">
              <w:rPr>
                <w:rFonts w:ascii="Calibri" w:hAnsi="Calibri"/>
              </w:rPr>
              <w:t>3,53 ha</w:t>
            </w:r>
          </w:p>
          <w:p w:rsidR="00951742" w:rsidRPr="00F85975" w:rsidRDefault="00951742" w:rsidP="00682765">
            <w:pPr>
              <w:rPr>
                <w:rFonts w:ascii="Calibri" w:hAnsi="Calibri"/>
                <w:strike/>
              </w:rPr>
            </w:pPr>
          </w:p>
        </w:tc>
        <w:tc>
          <w:tcPr>
            <w:tcW w:w="907" w:type="dxa"/>
            <w:tcBorders>
              <w:bottom w:val="single" w:sz="4" w:space="0" w:color="auto"/>
            </w:tcBorders>
          </w:tcPr>
          <w:p w:rsidR="00084759" w:rsidRPr="00F85975" w:rsidRDefault="005A133D" w:rsidP="004F2BFE">
            <w:pPr>
              <w:rPr>
                <w:rFonts w:ascii="Calibri" w:hAnsi="Calibri"/>
              </w:rPr>
            </w:pPr>
            <w:r w:rsidRPr="00F85975">
              <w:rPr>
                <w:rFonts w:ascii="Calibri" w:hAnsi="Calibri"/>
              </w:rPr>
              <w:t>98%</w:t>
            </w:r>
          </w:p>
        </w:tc>
        <w:tc>
          <w:tcPr>
            <w:tcW w:w="987" w:type="dxa"/>
            <w:vMerge/>
          </w:tcPr>
          <w:p w:rsidR="00084759" w:rsidRPr="001D7B86" w:rsidRDefault="00084759" w:rsidP="004F2BFE">
            <w:pPr>
              <w:rPr>
                <w:rFonts w:ascii="Calibri" w:hAnsi="Calibri"/>
                <w:strike/>
              </w:rPr>
            </w:pPr>
          </w:p>
        </w:tc>
        <w:tc>
          <w:tcPr>
            <w:tcW w:w="898" w:type="dxa"/>
            <w:tcBorders>
              <w:bottom w:val="single" w:sz="4" w:space="0" w:color="auto"/>
            </w:tcBorders>
          </w:tcPr>
          <w:p w:rsidR="00084759" w:rsidRPr="001D7B86" w:rsidRDefault="005A133D" w:rsidP="004F2BFE">
            <w:pPr>
              <w:rPr>
                <w:rFonts w:ascii="Calibri" w:hAnsi="Calibri"/>
              </w:rPr>
            </w:pPr>
            <w:r w:rsidRPr="001D7B86">
              <w:rPr>
                <w:rFonts w:ascii="Calibri" w:hAnsi="Calibri"/>
              </w:rPr>
              <w:t>0,10 ha</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tcPr>
          <w:p w:rsidR="00084759" w:rsidRPr="001D7B86" w:rsidRDefault="00084759" w:rsidP="004F2BFE">
            <w:pPr>
              <w:rPr>
                <w:rFonts w:ascii="Calibri" w:hAnsi="Calibri"/>
                <w:strike/>
              </w:rPr>
            </w:pPr>
          </w:p>
        </w:tc>
        <w:tc>
          <w:tcPr>
            <w:tcW w:w="1054" w:type="dxa"/>
            <w:tcBorders>
              <w:bottom w:val="single" w:sz="4" w:space="0" w:color="auto"/>
            </w:tcBorders>
          </w:tcPr>
          <w:p w:rsidR="005A133D" w:rsidRPr="001D7B86" w:rsidRDefault="005A133D" w:rsidP="004F2BFE">
            <w:pPr>
              <w:rPr>
                <w:rFonts w:ascii="Calibri" w:hAnsi="Calibri"/>
                <w:strike/>
                <w:vertAlign w:val="superscript"/>
              </w:rPr>
            </w:pPr>
            <w:r w:rsidRPr="001D7B86">
              <w:rPr>
                <w:rFonts w:ascii="Calibri" w:hAnsi="Calibri"/>
              </w:rPr>
              <w:t>4,09 ha</w:t>
            </w:r>
          </w:p>
        </w:tc>
        <w:tc>
          <w:tcPr>
            <w:tcW w:w="989" w:type="dxa"/>
            <w:vMerge/>
          </w:tcPr>
          <w:p w:rsidR="00084759" w:rsidRPr="001D7B86" w:rsidRDefault="00084759" w:rsidP="004F2BFE">
            <w:pPr>
              <w:rPr>
                <w:rFonts w:ascii="Calibri" w:hAnsi="Calibri"/>
              </w:rPr>
            </w:pPr>
          </w:p>
        </w:tc>
        <w:tc>
          <w:tcPr>
            <w:tcW w:w="827" w:type="dxa"/>
            <w:vMerge/>
          </w:tcPr>
          <w:p w:rsidR="00084759" w:rsidRPr="004F2BFE" w:rsidRDefault="00084759" w:rsidP="004F2BFE">
            <w:pPr>
              <w:rPr>
                <w:rFonts w:ascii="Calibri" w:hAnsi="Calibri"/>
              </w:rPr>
            </w:pPr>
          </w:p>
        </w:tc>
        <w:tc>
          <w:tcPr>
            <w:tcW w:w="1130" w:type="dxa"/>
            <w:vMerge/>
          </w:tcPr>
          <w:p w:rsidR="00084759" w:rsidRPr="004F2BFE" w:rsidRDefault="00084759" w:rsidP="004F2BFE">
            <w:pPr>
              <w:rPr>
                <w:rFonts w:ascii="Calibri" w:hAnsi="Calibri"/>
              </w:rPr>
            </w:pPr>
          </w:p>
        </w:tc>
      </w:tr>
      <w:tr w:rsidR="00084759" w:rsidRPr="004F2BFE" w:rsidTr="00654618">
        <w:tc>
          <w:tcPr>
            <w:tcW w:w="851" w:type="dxa"/>
            <w:vMerge/>
          </w:tcPr>
          <w:p w:rsidR="00084759" w:rsidRPr="004F2BFE" w:rsidRDefault="00084759" w:rsidP="004F2BFE">
            <w:pPr>
              <w:rPr>
                <w:rFonts w:ascii="Calibri" w:hAnsi="Calibri"/>
              </w:rPr>
            </w:pPr>
          </w:p>
        </w:tc>
        <w:tc>
          <w:tcPr>
            <w:tcW w:w="1985" w:type="dxa"/>
          </w:tcPr>
          <w:p w:rsidR="00084759" w:rsidRPr="004F2BFE" w:rsidRDefault="00084759" w:rsidP="004F2BFE">
            <w:pPr>
              <w:rPr>
                <w:rFonts w:ascii="Calibri" w:hAnsi="Calibri"/>
              </w:rPr>
            </w:pPr>
            <w:r w:rsidRPr="004F2BFE">
              <w:rPr>
                <w:rFonts w:ascii="Calibri" w:hAnsi="Calibri"/>
              </w:rPr>
              <w:t>Długość przebudowanych dróg gminnych</w:t>
            </w:r>
          </w:p>
        </w:tc>
        <w:tc>
          <w:tcPr>
            <w:tcW w:w="943" w:type="dxa"/>
            <w:gridSpan w:val="2"/>
            <w:tcBorders>
              <w:bottom w:val="single" w:sz="4" w:space="0" w:color="auto"/>
            </w:tcBorders>
          </w:tcPr>
          <w:p w:rsidR="00084759" w:rsidRPr="00F85975" w:rsidRDefault="00281077" w:rsidP="004F2BFE">
            <w:pPr>
              <w:rPr>
                <w:rFonts w:ascii="Calibri" w:hAnsi="Calibri"/>
              </w:rPr>
            </w:pPr>
            <w:r w:rsidRPr="00F85975">
              <w:rPr>
                <w:rFonts w:ascii="Calibri" w:hAnsi="Calibri"/>
              </w:rPr>
              <w:t>0,00 km</w:t>
            </w:r>
          </w:p>
        </w:tc>
        <w:tc>
          <w:tcPr>
            <w:tcW w:w="1024" w:type="dxa"/>
            <w:tcBorders>
              <w:bottom w:val="single" w:sz="4" w:space="0" w:color="auto"/>
            </w:tcBorders>
          </w:tcPr>
          <w:p w:rsidR="00084759" w:rsidRPr="00F85975" w:rsidRDefault="00F76138" w:rsidP="004F2BFE">
            <w:pPr>
              <w:rPr>
                <w:rFonts w:ascii="Calibri" w:hAnsi="Calibri"/>
              </w:rPr>
            </w:pPr>
            <w:r w:rsidRPr="00F85975">
              <w:rPr>
                <w:rFonts w:ascii="Calibri" w:hAnsi="Calibri"/>
              </w:rPr>
              <w:t>0</w:t>
            </w:r>
            <w:r w:rsidR="00281077" w:rsidRPr="00F85975">
              <w:rPr>
                <w:rFonts w:ascii="Calibri" w:hAnsi="Calibri"/>
              </w:rPr>
              <w:t>%</w:t>
            </w:r>
          </w:p>
        </w:tc>
        <w:tc>
          <w:tcPr>
            <w:tcW w:w="987" w:type="dxa"/>
            <w:vMerge/>
          </w:tcPr>
          <w:p w:rsidR="00084759" w:rsidRPr="00F85975" w:rsidRDefault="00084759" w:rsidP="004F2BFE">
            <w:pPr>
              <w:rPr>
                <w:rFonts w:ascii="Calibri" w:hAnsi="Calibri"/>
                <w:strike/>
              </w:rPr>
            </w:pPr>
          </w:p>
        </w:tc>
        <w:tc>
          <w:tcPr>
            <w:tcW w:w="1015" w:type="dxa"/>
            <w:gridSpan w:val="2"/>
            <w:tcBorders>
              <w:bottom w:val="single" w:sz="4" w:space="0" w:color="auto"/>
            </w:tcBorders>
          </w:tcPr>
          <w:p w:rsidR="00084759" w:rsidRPr="00F85975" w:rsidRDefault="0001635A" w:rsidP="00682765">
            <w:pPr>
              <w:rPr>
                <w:rFonts w:ascii="Calibri" w:hAnsi="Calibri"/>
              </w:rPr>
            </w:pPr>
            <w:r w:rsidRPr="00883708">
              <w:rPr>
                <w:rFonts w:ascii="Calibri" w:hAnsi="Calibri"/>
                <w:strike/>
                <w:color w:val="FF0000"/>
              </w:rPr>
              <w:t>0,81</w:t>
            </w:r>
            <w:r w:rsidRPr="00F85975">
              <w:rPr>
                <w:rFonts w:ascii="Calibri" w:hAnsi="Calibri"/>
              </w:rPr>
              <w:t xml:space="preserve"> </w:t>
            </w:r>
            <w:r w:rsidR="00883708">
              <w:rPr>
                <w:rFonts w:ascii="Calibri" w:hAnsi="Calibri"/>
                <w:color w:val="FF0000"/>
              </w:rPr>
              <w:t xml:space="preserve">0,435 </w:t>
            </w:r>
            <w:r w:rsidRPr="00F85975">
              <w:rPr>
                <w:rFonts w:ascii="Calibri" w:hAnsi="Calibri"/>
              </w:rPr>
              <w:t>km</w:t>
            </w:r>
          </w:p>
        </w:tc>
        <w:tc>
          <w:tcPr>
            <w:tcW w:w="907" w:type="dxa"/>
            <w:tcBorders>
              <w:bottom w:val="single" w:sz="4" w:space="0" w:color="auto"/>
            </w:tcBorders>
          </w:tcPr>
          <w:p w:rsidR="00084759" w:rsidRPr="00F85975" w:rsidRDefault="00084759" w:rsidP="004F2BFE">
            <w:pPr>
              <w:rPr>
                <w:rFonts w:ascii="Calibri" w:hAnsi="Calibri"/>
              </w:rPr>
            </w:pPr>
            <w:r w:rsidRPr="00F85975">
              <w:rPr>
                <w:rFonts w:ascii="Calibri" w:hAnsi="Calibri"/>
              </w:rPr>
              <w:t>100%</w:t>
            </w:r>
          </w:p>
        </w:tc>
        <w:tc>
          <w:tcPr>
            <w:tcW w:w="987" w:type="dxa"/>
            <w:vMerge/>
          </w:tcPr>
          <w:p w:rsidR="00084759" w:rsidRPr="001D7B86" w:rsidRDefault="00084759" w:rsidP="004F2BFE">
            <w:pPr>
              <w:rPr>
                <w:rFonts w:ascii="Calibri" w:hAnsi="Calibri"/>
              </w:rPr>
            </w:pPr>
          </w:p>
        </w:tc>
        <w:tc>
          <w:tcPr>
            <w:tcW w:w="898" w:type="dxa"/>
            <w:tcBorders>
              <w:bottom w:val="single" w:sz="4" w:space="0" w:color="auto"/>
            </w:tcBorders>
          </w:tcPr>
          <w:p w:rsidR="00084759" w:rsidRPr="001D7B86" w:rsidRDefault="00084759" w:rsidP="004F2BFE">
            <w:pPr>
              <w:rPr>
                <w:rFonts w:ascii="Calibri" w:hAnsi="Calibri"/>
              </w:rPr>
            </w:pPr>
            <w:r w:rsidRPr="001D7B86">
              <w:rPr>
                <w:rFonts w:ascii="Calibri" w:hAnsi="Calibri"/>
              </w:rPr>
              <w:t>0 km</w:t>
            </w:r>
          </w:p>
        </w:tc>
        <w:tc>
          <w:tcPr>
            <w:tcW w:w="1024" w:type="dxa"/>
            <w:tcBorders>
              <w:bottom w:val="single" w:sz="4" w:space="0" w:color="auto"/>
            </w:tcBorders>
          </w:tcPr>
          <w:p w:rsidR="00084759" w:rsidRPr="001D7B86" w:rsidRDefault="00084759" w:rsidP="004F2BFE">
            <w:pPr>
              <w:rPr>
                <w:rFonts w:ascii="Calibri" w:hAnsi="Calibri"/>
              </w:rPr>
            </w:pPr>
            <w:r w:rsidRPr="001D7B86">
              <w:rPr>
                <w:rFonts w:ascii="Calibri" w:hAnsi="Calibri"/>
              </w:rPr>
              <w:t>100%</w:t>
            </w:r>
          </w:p>
        </w:tc>
        <w:tc>
          <w:tcPr>
            <w:tcW w:w="987" w:type="dxa"/>
            <w:vMerge/>
          </w:tcPr>
          <w:p w:rsidR="00084759" w:rsidRPr="001D7B86" w:rsidRDefault="00084759" w:rsidP="004F2BFE">
            <w:pPr>
              <w:rPr>
                <w:rFonts w:ascii="Calibri" w:hAnsi="Calibri"/>
              </w:rPr>
            </w:pPr>
          </w:p>
        </w:tc>
        <w:tc>
          <w:tcPr>
            <w:tcW w:w="1054" w:type="dxa"/>
            <w:tcBorders>
              <w:bottom w:val="single" w:sz="4" w:space="0" w:color="auto"/>
            </w:tcBorders>
          </w:tcPr>
          <w:p w:rsidR="00084759" w:rsidRPr="001D7B86" w:rsidRDefault="00FE3D07" w:rsidP="004F2BFE">
            <w:pPr>
              <w:rPr>
                <w:rFonts w:ascii="Calibri" w:hAnsi="Calibri"/>
              </w:rPr>
            </w:pPr>
            <w:r w:rsidRPr="00883708">
              <w:rPr>
                <w:rFonts w:ascii="Calibri" w:hAnsi="Calibri"/>
                <w:strike/>
                <w:color w:val="FF0000"/>
              </w:rPr>
              <w:t>0,81</w:t>
            </w:r>
            <w:r w:rsidR="008D1EAE" w:rsidRPr="001D7B86">
              <w:rPr>
                <w:rFonts w:ascii="Calibri" w:hAnsi="Calibri"/>
              </w:rPr>
              <w:t xml:space="preserve"> </w:t>
            </w:r>
            <w:r w:rsidR="00883708">
              <w:rPr>
                <w:rFonts w:ascii="Calibri" w:hAnsi="Calibri"/>
                <w:color w:val="FF0000"/>
              </w:rPr>
              <w:t xml:space="preserve">0,435 </w:t>
            </w:r>
            <w:r w:rsidR="00084759" w:rsidRPr="001D7B86">
              <w:rPr>
                <w:rFonts w:ascii="Calibri" w:hAnsi="Calibri"/>
              </w:rPr>
              <w:t>km</w:t>
            </w:r>
          </w:p>
        </w:tc>
        <w:tc>
          <w:tcPr>
            <w:tcW w:w="989" w:type="dxa"/>
            <w:vMerge/>
          </w:tcPr>
          <w:p w:rsidR="00084759" w:rsidRPr="001D7B86" w:rsidRDefault="00084759" w:rsidP="004F2BFE">
            <w:pPr>
              <w:rPr>
                <w:rFonts w:ascii="Calibri" w:hAnsi="Calibri"/>
              </w:rPr>
            </w:pPr>
          </w:p>
        </w:tc>
        <w:tc>
          <w:tcPr>
            <w:tcW w:w="827" w:type="dxa"/>
            <w:vMerge/>
            <w:tcBorders>
              <w:bottom w:val="single" w:sz="4" w:space="0" w:color="auto"/>
            </w:tcBorders>
          </w:tcPr>
          <w:p w:rsidR="00084759" w:rsidRPr="004F2BFE" w:rsidRDefault="00084759" w:rsidP="004F2BFE">
            <w:pPr>
              <w:rPr>
                <w:rFonts w:ascii="Calibri" w:hAnsi="Calibri"/>
              </w:rPr>
            </w:pPr>
          </w:p>
        </w:tc>
        <w:tc>
          <w:tcPr>
            <w:tcW w:w="1130" w:type="dxa"/>
            <w:vMerge/>
            <w:tcBorders>
              <w:bottom w:val="single" w:sz="4" w:space="0" w:color="auto"/>
            </w:tcBorders>
          </w:tcPr>
          <w:p w:rsidR="00084759" w:rsidRPr="004F2BFE" w:rsidRDefault="00084759" w:rsidP="004F2BFE">
            <w:pPr>
              <w:rPr>
                <w:rFonts w:ascii="Calibri" w:hAnsi="Calibri"/>
              </w:rPr>
            </w:pPr>
          </w:p>
        </w:tc>
      </w:tr>
      <w:tr w:rsidR="00084759" w:rsidRPr="004F2BFE" w:rsidTr="00B73968">
        <w:tc>
          <w:tcPr>
            <w:tcW w:w="2836" w:type="dxa"/>
            <w:gridSpan w:val="2"/>
          </w:tcPr>
          <w:p w:rsidR="00084759" w:rsidRPr="004F2BFE" w:rsidRDefault="00084759" w:rsidP="004F2BFE">
            <w:pPr>
              <w:rPr>
                <w:rFonts w:ascii="Calibri" w:hAnsi="Calibri"/>
              </w:rPr>
            </w:pPr>
            <w:r w:rsidRPr="004F2BFE">
              <w:rPr>
                <w:rFonts w:ascii="Calibri" w:hAnsi="Calibri"/>
                <w:b/>
              </w:rPr>
              <w:t>Razem cel szczegółowy 2</w:t>
            </w:r>
          </w:p>
        </w:tc>
        <w:tc>
          <w:tcPr>
            <w:tcW w:w="1967" w:type="dxa"/>
            <w:gridSpan w:val="3"/>
            <w:vMerge w:val="restart"/>
            <w:shd w:val="clear" w:color="auto" w:fill="0070C0"/>
          </w:tcPr>
          <w:p w:rsidR="00084759" w:rsidRPr="00F85975" w:rsidRDefault="00084759" w:rsidP="004F2BFE">
            <w:pPr>
              <w:rPr>
                <w:rFonts w:ascii="Calibri" w:hAnsi="Calibri"/>
              </w:rPr>
            </w:pPr>
          </w:p>
        </w:tc>
        <w:tc>
          <w:tcPr>
            <w:tcW w:w="987" w:type="dxa"/>
          </w:tcPr>
          <w:p w:rsidR="00084759" w:rsidRPr="00F85975" w:rsidRDefault="00976EE3" w:rsidP="007C1A17">
            <w:pPr>
              <w:rPr>
                <w:rFonts w:ascii="Calibri" w:hAnsi="Calibri"/>
                <w:b/>
              </w:rPr>
            </w:pPr>
            <w:r w:rsidRPr="00F85975">
              <w:rPr>
                <w:rFonts w:ascii="Calibri" w:hAnsi="Calibri"/>
                <w:b/>
              </w:rPr>
              <w:t>1.625.542,68</w:t>
            </w:r>
          </w:p>
        </w:tc>
        <w:tc>
          <w:tcPr>
            <w:tcW w:w="1922" w:type="dxa"/>
            <w:gridSpan w:val="3"/>
            <w:vMerge w:val="restart"/>
            <w:shd w:val="clear" w:color="auto" w:fill="0070C0"/>
          </w:tcPr>
          <w:p w:rsidR="00084759" w:rsidRPr="00F85975" w:rsidRDefault="00084759" w:rsidP="004F2BFE">
            <w:pPr>
              <w:rPr>
                <w:rFonts w:ascii="Calibri" w:hAnsi="Calibri"/>
                <w:b/>
              </w:rPr>
            </w:pPr>
          </w:p>
        </w:tc>
        <w:tc>
          <w:tcPr>
            <w:tcW w:w="987" w:type="dxa"/>
          </w:tcPr>
          <w:p w:rsidR="00084759" w:rsidRPr="001D7B86" w:rsidRDefault="00A14DA6" w:rsidP="00A14DA6">
            <w:pPr>
              <w:rPr>
                <w:rFonts w:ascii="Calibri" w:hAnsi="Calibri"/>
                <w:b/>
              </w:rPr>
            </w:pPr>
            <w:r w:rsidRPr="001D7B86">
              <w:rPr>
                <w:rFonts w:ascii="Calibri" w:hAnsi="Calibri"/>
                <w:b/>
              </w:rPr>
              <w:t>4.781</w:t>
            </w:r>
            <w:r w:rsidR="006A6E47" w:rsidRPr="001D7B86">
              <w:rPr>
                <w:rFonts w:ascii="Calibri" w:hAnsi="Calibri"/>
                <w:b/>
              </w:rPr>
              <w:t>.597,32</w:t>
            </w:r>
          </w:p>
        </w:tc>
        <w:tc>
          <w:tcPr>
            <w:tcW w:w="1922" w:type="dxa"/>
            <w:gridSpan w:val="2"/>
            <w:vMerge w:val="restart"/>
            <w:shd w:val="clear" w:color="auto" w:fill="0070C0"/>
          </w:tcPr>
          <w:p w:rsidR="00084759" w:rsidRPr="001D7B86" w:rsidRDefault="00084759" w:rsidP="004F2BFE">
            <w:pPr>
              <w:rPr>
                <w:rFonts w:ascii="Calibri" w:hAnsi="Calibri"/>
                <w:b/>
              </w:rPr>
            </w:pPr>
          </w:p>
        </w:tc>
        <w:tc>
          <w:tcPr>
            <w:tcW w:w="987" w:type="dxa"/>
          </w:tcPr>
          <w:p w:rsidR="00084759" w:rsidRPr="001D7B86" w:rsidRDefault="00084759" w:rsidP="003B30F3">
            <w:pPr>
              <w:rPr>
                <w:rFonts w:ascii="Calibri" w:hAnsi="Calibri"/>
                <w:b/>
              </w:rPr>
            </w:pPr>
            <w:r w:rsidRPr="001D7B86">
              <w:rPr>
                <w:rFonts w:ascii="Calibri" w:hAnsi="Calibri"/>
                <w:b/>
              </w:rPr>
              <w:t>300.000</w:t>
            </w:r>
          </w:p>
        </w:tc>
        <w:tc>
          <w:tcPr>
            <w:tcW w:w="1054" w:type="dxa"/>
            <w:vMerge w:val="restart"/>
            <w:shd w:val="clear" w:color="auto" w:fill="0070C0"/>
          </w:tcPr>
          <w:p w:rsidR="00084759" w:rsidRPr="001D7B86" w:rsidRDefault="00084759" w:rsidP="004F2BFE">
            <w:pPr>
              <w:rPr>
                <w:rFonts w:ascii="Calibri" w:hAnsi="Calibri"/>
                <w:b/>
              </w:rPr>
            </w:pPr>
          </w:p>
        </w:tc>
        <w:tc>
          <w:tcPr>
            <w:tcW w:w="989" w:type="dxa"/>
          </w:tcPr>
          <w:p w:rsidR="00084759" w:rsidRPr="001D7B86" w:rsidRDefault="0070327F" w:rsidP="004F2BFE">
            <w:pPr>
              <w:rPr>
                <w:rFonts w:ascii="Calibri" w:hAnsi="Calibri"/>
                <w:b/>
              </w:rPr>
            </w:pPr>
            <w:r w:rsidRPr="001D7B86">
              <w:rPr>
                <w:rFonts w:ascii="Calibri" w:hAnsi="Calibri"/>
                <w:b/>
              </w:rPr>
              <w:t>6.70</w:t>
            </w:r>
            <w:r w:rsidR="004050C4" w:rsidRPr="001D7B86">
              <w:rPr>
                <w:rFonts w:ascii="Calibri" w:hAnsi="Calibri"/>
                <w:b/>
              </w:rPr>
              <w:t>7.140</w:t>
            </w:r>
          </w:p>
        </w:tc>
        <w:tc>
          <w:tcPr>
            <w:tcW w:w="1957" w:type="dxa"/>
            <w:gridSpan w:val="2"/>
            <w:vMerge w:val="restart"/>
            <w:shd w:val="clear" w:color="auto" w:fill="0070C0"/>
          </w:tcPr>
          <w:p w:rsidR="00084759" w:rsidRPr="004F2BFE" w:rsidRDefault="00084759" w:rsidP="004F2BFE">
            <w:pPr>
              <w:rPr>
                <w:rFonts w:ascii="Calibri" w:hAnsi="Calibri"/>
              </w:rPr>
            </w:pPr>
          </w:p>
        </w:tc>
      </w:tr>
      <w:tr w:rsidR="00084759" w:rsidRPr="004F2BFE" w:rsidTr="00B73968">
        <w:tc>
          <w:tcPr>
            <w:tcW w:w="2836" w:type="dxa"/>
            <w:gridSpan w:val="2"/>
            <w:tcBorders>
              <w:bottom w:val="single" w:sz="4" w:space="0" w:color="auto"/>
            </w:tcBorders>
          </w:tcPr>
          <w:p w:rsidR="00084759" w:rsidRPr="004F2BFE" w:rsidRDefault="00084759" w:rsidP="004F2BFE">
            <w:pPr>
              <w:rPr>
                <w:rFonts w:ascii="Calibri" w:hAnsi="Calibri"/>
              </w:rPr>
            </w:pPr>
            <w:r w:rsidRPr="004F2BFE">
              <w:rPr>
                <w:rFonts w:ascii="Calibri" w:hAnsi="Calibri"/>
                <w:b/>
              </w:rPr>
              <w:t>Razem cel ogólny 3</w:t>
            </w:r>
          </w:p>
        </w:tc>
        <w:tc>
          <w:tcPr>
            <w:tcW w:w="1967" w:type="dxa"/>
            <w:gridSpan w:val="3"/>
            <w:vMerge/>
            <w:tcBorders>
              <w:bottom w:val="single" w:sz="4" w:space="0" w:color="auto"/>
            </w:tcBorders>
            <w:shd w:val="clear" w:color="auto" w:fill="0070C0"/>
          </w:tcPr>
          <w:p w:rsidR="00084759" w:rsidRPr="00F85975" w:rsidRDefault="00084759" w:rsidP="004F2BFE">
            <w:pPr>
              <w:rPr>
                <w:rFonts w:ascii="Calibri" w:hAnsi="Calibri"/>
              </w:rPr>
            </w:pPr>
          </w:p>
        </w:tc>
        <w:tc>
          <w:tcPr>
            <w:tcW w:w="987" w:type="dxa"/>
            <w:tcBorders>
              <w:bottom w:val="single" w:sz="4" w:space="0" w:color="auto"/>
            </w:tcBorders>
          </w:tcPr>
          <w:p w:rsidR="00084759" w:rsidRPr="00F85975" w:rsidRDefault="00976EE3" w:rsidP="00EB2F12">
            <w:pPr>
              <w:rPr>
                <w:rFonts w:ascii="Calibri" w:hAnsi="Calibri"/>
                <w:b/>
              </w:rPr>
            </w:pPr>
            <w:r w:rsidRPr="00F85975">
              <w:rPr>
                <w:rFonts w:ascii="Calibri" w:hAnsi="Calibri"/>
                <w:b/>
              </w:rPr>
              <w:t>2.808.402,68</w:t>
            </w:r>
          </w:p>
        </w:tc>
        <w:tc>
          <w:tcPr>
            <w:tcW w:w="1922" w:type="dxa"/>
            <w:gridSpan w:val="3"/>
            <w:vMerge/>
            <w:tcBorders>
              <w:bottom w:val="single" w:sz="4" w:space="0" w:color="auto"/>
            </w:tcBorders>
            <w:shd w:val="clear" w:color="auto" w:fill="0070C0"/>
          </w:tcPr>
          <w:p w:rsidR="00084759" w:rsidRPr="00F85975" w:rsidRDefault="00084759" w:rsidP="004F2BFE">
            <w:pPr>
              <w:rPr>
                <w:rFonts w:ascii="Calibri" w:hAnsi="Calibri"/>
                <w:b/>
              </w:rPr>
            </w:pPr>
          </w:p>
        </w:tc>
        <w:tc>
          <w:tcPr>
            <w:tcW w:w="987" w:type="dxa"/>
            <w:tcBorders>
              <w:bottom w:val="single" w:sz="4" w:space="0" w:color="auto"/>
            </w:tcBorders>
          </w:tcPr>
          <w:p w:rsidR="00084759" w:rsidRPr="001D7B86" w:rsidRDefault="00A14DA6" w:rsidP="005962AA">
            <w:pPr>
              <w:rPr>
                <w:rFonts w:ascii="Calibri" w:hAnsi="Calibri"/>
                <w:b/>
              </w:rPr>
            </w:pPr>
            <w:r w:rsidRPr="001D7B86">
              <w:rPr>
                <w:rFonts w:ascii="Calibri" w:hAnsi="Calibri"/>
                <w:b/>
              </w:rPr>
              <w:t>4.93</w:t>
            </w:r>
            <w:r w:rsidR="00D27EE8" w:rsidRPr="001D7B86">
              <w:rPr>
                <w:rFonts w:ascii="Calibri" w:hAnsi="Calibri"/>
                <w:b/>
              </w:rPr>
              <w:t>1.597,32</w:t>
            </w:r>
          </w:p>
        </w:tc>
        <w:tc>
          <w:tcPr>
            <w:tcW w:w="1922" w:type="dxa"/>
            <w:gridSpan w:val="2"/>
            <w:vMerge/>
            <w:tcBorders>
              <w:bottom w:val="single" w:sz="4" w:space="0" w:color="auto"/>
            </w:tcBorders>
          </w:tcPr>
          <w:p w:rsidR="00084759" w:rsidRPr="001D7B86" w:rsidRDefault="00084759" w:rsidP="004F2BFE">
            <w:pPr>
              <w:rPr>
                <w:rFonts w:ascii="Calibri" w:hAnsi="Calibri"/>
                <w:b/>
              </w:rPr>
            </w:pPr>
          </w:p>
        </w:tc>
        <w:tc>
          <w:tcPr>
            <w:tcW w:w="987" w:type="dxa"/>
            <w:tcBorders>
              <w:bottom w:val="single" w:sz="4" w:space="0" w:color="auto"/>
            </w:tcBorders>
          </w:tcPr>
          <w:p w:rsidR="00084759" w:rsidRPr="001D7B86" w:rsidRDefault="00084759" w:rsidP="003B30F3">
            <w:pPr>
              <w:rPr>
                <w:rFonts w:ascii="Calibri" w:hAnsi="Calibri"/>
                <w:b/>
              </w:rPr>
            </w:pPr>
            <w:r w:rsidRPr="001D7B86">
              <w:rPr>
                <w:rFonts w:ascii="Calibri" w:hAnsi="Calibri"/>
                <w:b/>
              </w:rPr>
              <w:t>300.000</w:t>
            </w:r>
          </w:p>
        </w:tc>
        <w:tc>
          <w:tcPr>
            <w:tcW w:w="1054" w:type="dxa"/>
            <w:vMerge/>
            <w:tcBorders>
              <w:bottom w:val="single" w:sz="4" w:space="0" w:color="auto"/>
            </w:tcBorders>
          </w:tcPr>
          <w:p w:rsidR="00084759" w:rsidRPr="001D7B86" w:rsidRDefault="00084759" w:rsidP="004F2BFE">
            <w:pPr>
              <w:rPr>
                <w:rFonts w:ascii="Calibri" w:hAnsi="Calibri"/>
                <w:b/>
              </w:rPr>
            </w:pPr>
          </w:p>
        </w:tc>
        <w:tc>
          <w:tcPr>
            <w:tcW w:w="989" w:type="dxa"/>
            <w:tcBorders>
              <w:bottom w:val="single" w:sz="4" w:space="0" w:color="auto"/>
            </w:tcBorders>
          </w:tcPr>
          <w:p w:rsidR="00084759" w:rsidRPr="001D7B86" w:rsidRDefault="0070327F" w:rsidP="004F2BFE">
            <w:pPr>
              <w:rPr>
                <w:rFonts w:ascii="Calibri" w:hAnsi="Calibri"/>
                <w:b/>
              </w:rPr>
            </w:pPr>
            <w:r w:rsidRPr="001D7B86">
              <w:rPr>
                <w:rFonts w:ascii="Calibri" w:hAnsi="Calibri"/>
                <w:b/>
              </w:rPr>
              <w:t>8.04</w:t>
            </w:r>
            <w:r w:rsidR="004050C4" w:rsidRPr="001D7B86">
              <w:rPr>
                <w:rFonts w:ascii="Calibri" w:hAnsi="Calibri"/>
                <w:b/>
              </w:rPr>
              <w:t>0.000</w:t>
            </w:r>
          </w:p>
        </w:tc>
        <w:tc>
          <w:tcPr>
            <w:tcW w:w="1957" w:type="dxa"/>
            <w:gridSpan w:val="2"/>
            <w:vMerge/>
            <w:tcBorders>
              <w:bottom w:val="single" w:sz="4" w:space="0" w:color="auto"/>
            </w:tcBorders>
          </w:tcPr>
          <w:p w:rsidR="00084759" w:rsidRPr="004F2BFE" w:rsidRDefault="00084759" w:rsidP="004F2BFE">
            <w:pPr>
              <w:rPr>
                <w:rFonts w:ascii="Calibri" w:hAnsi="Calibri"/>
              </w:rPr>
            </w:pPr>
          </w:p>
        </w:tc>
      </w:tr>
    </w:tbl>
    <w:p w:rsidR="004F2BFE" w:rsidRPr="00FC41F6" w:rsidRDefault="004F2BFE" w:rsidP="009F1536">
      <w:pPr>
        <w:rPr>
          <w:color w:val="FFFFFF" w:themeColor="background1"/>
          <w:sz w:val="4"/>
          <w:szCs w:val="4"/>
        </w:rPr>
        <w:sectPr w:rsidR="004F2BFE" w:rsidRPr="00FC41F6" w:rsidSect="00871F4F">
          <w:pgSz w:w="16838" w:h="11906" w:orient="landscape" w:code="9"/>
          <w:pgMar w:top="851" w:right="820" w:bottom="851" w:left="1134" w:header="510" w:footer="284" w:gutter="0"/>
          <w:cols w:space="708"/>
          <w:vAlign w:val="center"/>
          <w:titlePg/>
          <w:docGrid w:linePitch="360"/>
        </w:sectPr>
      </w:pP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w:t>
      </w:r>
      <w:proofErr w:type="spellStart"/>
      <w:r w:rsidRPr="00552968">
        <w:rPr>
          <w:b/>
          <w:color w:val="0070C0"/>
          <w:sz w:val="20"/>
          <w:szCs w:val="20"/>
        </w:rPr>
        <w:t>poddziałań</w:t>
      </w:r>
      <w:proofErr w:type="spellEnd"/>
      <w:r w:rsidRPr="00552968">
        <w:rPr>
          <w:b/>
          <w:color w:val="0070C0"/>
          <w:sz w:val="20"/>
          <w:szCs w:val="20"/>
        </w:rPr>
        <w:t>.</w:t>
      </w:r>
    </w:p>
    <w:tbl>
      <w:tblPr>
        <w:tblStyle w:val="Tabela-Siatka"/>
        <w:tblW w:w="0" w:type="auto"/>
        <w:tblLayout w:type="fixed"/>
        <w:tblLook w:val="04A0"/>
      </w:tblPr>
      <w:tblGrid>
        <w:gridCol w:w="2802"/>
        <w:gridCol w:w="1275"/>
        <w:gridCol w:w="1276"/>
        <w:gridCol w:w="1418"/>
        <w:gridCol w:w="1134"/>
        <w:gridCol w:w="1352"/>
      </w:tblGrid>
      <w:tr w:rsidR="00C501F8" w:rsidRPr="00D70893" w:rsidTr="00D70893">
        <w:tc>
          <w:tcPr>
            <w:tcW w:w="280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6455" w:type="dxa"/>
            <w:gridSpan w:val="5"/>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Wsparcie finansowe (PLN)</w:t>
            </w:r>
          </w:p>
        </w:tc>
      </w:tr>
      <w:tr w:rsidR="00C501F8" w:rsidRPr="00D70893" w:rsidTr="00D70893">
        <w:tc>
          <w:tcPr>
            <w:tcW w:w="2802" w:type="dxa"/>
            <w:vMerge/>
            <w:shd w:val="clear" w:color="auto" w:fill="0070C0"/>
            <w:vAlign w:val="center"/>
          </w:tcPr>
          <w:p w:rsidR="00C501F8" w:rsidRPr="00D70893" w:rsidRDefault="00C501F8" w:rsidP="00C501F8">
            <w:pPr>
              <w:jc w:val="center"/>
              <w:rPr>
                <w:b/>
                <w:color w:val="FFFFFF" w:themeColor="background1"/>
              </w:rPr>
            </w:pPr>
          </w:p>
        </w:tc>
        <w:tc>
          <w:tcPr>
            <w:tcW w:w="1275"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694"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134"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3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D70893">
        <w:tc>
          <w:tcPr>
            <w:tcW w:w="2802" w:type="dxa"/>
            <w:vMerge/>
          </w:tcPr>
          <w:p w:rsidR="00C501F8" w:rsidRDefault="00C501F8" w:rsidP="00C501F8"/>
        </w:tc>
        <w:tc>
          <w:tcPr>
            <w:tcW w:w="1275" w:type="dxa"/>
            <w:vMerge/>
          </w:tcPr>
          <w:p w:rsidR="00C501F8" w:rsidRDefault="00C501F8" w:rsidP="00C501F8"/>
        </w:tc>
        <w:tc>
          <w:tcPr>
            <w:tcW w:w="1276"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134" w:type="dxa"/>
            <w:vMerge/>
            <w:tcBorders>
              <w:bottom w:val="single" w:sz="4" w:space="0" w:color="auto"/>
            </w:tcBorders>
          </w:tcPr>
          <w:p w:rsidR="00C501F8" w:rsidRDefault="00C501F8" w:rsidP="00C501F8"/>
        </w:tc>
        <w:tc>
          <w:tcPr>
            <w:tcW w:w="1352" w:type="dxa"/>
            <w:vMerge/>
          </w:tcPr>
          <w:p w:rsidR="00C501F8" w:rsidRDefault="00C501F8" w:rsidP="00C501F8"/>
        </w:tc>
      </w:tr>
      <w:tr w:rsidR="00C501F8" w:rsidTr="00C501F8">
        <w:tc>
          <w:tcPr>
            <w:tcW w:w="2802" w:type="dxa"/>
          </w:tcPr>
          <w:p w:rsidR="00C501F8" w:rsidRDefault="00C501F8" w:rsidP="00C501F8">
            <w:r>
              <w:t>Realizacja LSR (art. 35 ust. 1 lit. b rozporządzenia nr 1303/2013)</w:t>
            </w:r>
          </w:p>
        </w:tc>
        <w:tc>
          <w:tcPr>
            <w:tcW w:w="1275" w:type="dxa"/>
            <w:vAlign w:val="center"/>
          </w:tcPr>
          <w:p w:rsidR="00C501F8" w:rsidRPr="008E38EA" w:rsidRDefault="00622EB3" w:rsidP="00C501F8">
            <w:pPr>
              <w:jc w:val="center"/>
            </w:pPr>
            <w:r w:rsidRPr="008E38EA">
              <w:t>5.4</w:t>
            </w:r>
            <w:r w:rsidR="00C501F8" w:rsidRPr="008E38EA">
              <w:t>00.000</w:t>
            </w:r>
          </w:p>
        </w:tc>
        <w:tc>
          <w:tcPr>
            <w:tcW w:w="1276" w:type="dxa"/>
            <w:tcBorders>
              <w:bottom w:val="single" w:sz="4" w:space="0" w:color="auto"/>
            </w:tcBorders>
            <w:vAlign w:val="center"/>
          </w:tcPr>
          <w:p w:rsidR="00C501F8" w:rsidRPr="008E38EA" w:rsidRDefault="00C501F8" w:rsidP="00C501F8">
            <w:pPr>
              <w:jc w:val="center"/>
            </w:pPr>
            <w:r w:rsidRPr="008E38EA">
              <w:t>2.560.000</w:t>
            </w:r>
          </w:p>
        </w:tc>
        <w:tc>
          <w:tcPr>
            <w:tcW w:w="1418" w:type="dxa"/>
            <w:tcBorders>
              <w:bottom w:val="single" w:sz="4" w:space="0" w:color="auto"/>
            </w:tcBorders>
            <w:vAlign w:val="center"/>
          </w:tcPr>
          <w:p w:rsidR="00C501F8" w:rsidRPr="008E38EA" w:rsidRDefault="00C501F8" w:rsidP="00C501F8">
            <w:pPr>
              <w:jc w:val="center"/>
            </w:pPr>
            <w:r w:rsidRPr="008E38EA">
              <w:t>6.400.000</w:t>
            </w:r>
          </w:p>
        </w:tc>
        <w:tc>
          <w:tcPr>
            <w:tcW w:w="1134" w:type="dxa"/>
            <w:tcBorders>
              <w:bottom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C501F8" w:rsidP="00622EB3">
            <w:pPr>
              <w:jc w:val="center"/>
            </w:pPr>
            <w:r w:rsidRPr="008E38EA">
              <w:t>14.</w:t>
            </w:r>
            <w:r w:rsidR="00622EB3" w:rsidRPr="008E38EA">
              <w:t>3</w:t>
            </w:r>
            <w:r w:rsidRPr="008E38EA">
              <w:t>60.000</w:t>
            </w:r>
          </w:p>
        </w:tc>
      </w:tr>
      <w:tr w:rsidR="00C501F8" w:rsidTr="00C501F8">
        <w:tc>
          <w:tcPr>
            <w:tcW w:w="2802" w:type="dxa"/>
          </w:tcPr>
          <w:p w:rsidR="00C501F8" w:rsidRDefault="00C501F8" w:rsidP="00C501F8">
            <w:r>
              <w:t>Współpraca (art. 35 ust. 1 lit. c rozporządzenia nr 1303/2013)</w:t>
            </w:r>
          </w:p>
        </w:tc>
        <w:tc>
          <w:tcPr>
            <w:tcW w:w="1275" w:type="dxa"/>
            <w:vAlign w:val="center"/>
          </w:tcPr>
          <w:p w:rsidR="00C501F8" w:rsidRPr="008E38EA" w:rsidRDefault="00622EB3" w:rsidP="00C501F8">
            <w:pPr>
              <w:jc w:val="center"/>
            </w:pPr>
            <w:r w:rsidRPr="008E38EA">
              <w:t>9</w:t>
            </w:r>
            <w:r w:rsidR="00C501F8" w:rsidRPr="008E38EA">
              <w:t>0.000</w:t>
            </w:r>
          </w:p>
        </w:tc>
        <w:tc>
          <w:tcPr>
            <w:tcW w:w="1276" w:type="dxa"/>
            <w:tcBorders>
              <w:right w:val="single" w:sz="4" w:space="0" w:color="auto"/>
            </w:tcBorders>
            <w:shd w:val="clear" w:color="auto" w:fill="auto"/>
            <w:vAlign w:val="center"/>
          </w:tcPr>
          <w:p w:rsidR="00C501F8" w:rsidRPr="008E38EA" w:rsidRDefault="00C501F8" w:rsidP="00C501F8">
            <w:pPr>
              <w:jc w:val="center"/>
            </w:pPr>
            <w:r w:rsidRPr="008E38EA">
              <w:t>X</w:t>
            </w:r>
          </w:p>
        </w:tc>
        <w:tc>
          <w:tcPr>
            <w:tcW w:w="1418" w:type="dxa"/>
            <w:tcBorders>
              <w:left w:val="single" w:sz="4" w:space="0" w:color="auto"/>
              <w:right w:val="single" w:sz="4" w:space="0" w:color="auto"/>
            </w:tcBorders>
            <w:shd w:val="clear" w:color="auto" w:fill="auto"/>
            <w:vAlign w:val="center"/>
          </w:tcPr>
          <w:p w:rsidR="00C501F8" w:rsidRPr="008E38EA" w:rsidRDefault="00C501F8" w:rsidP="00C501F8">
            <w:pPr>
              <w:jc w:val="center"/>
            </w:pPr>
            <w:r w:rsidRPr="008E38EA">
              <w:t>X</w:t>
            </w:r>
          </w:p>
        </w:tc>
        <w:tc>
          <w:tcPr>
            <w:tcW w:w="1134" w:type="dxa"/>
            <w:tcBorders>
              <w:left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622EB3" w:rsidP="00C501F8">
            <w:pPr>
              <w:jc w:val="center"/>
            </w:pPr>
            <w:r w:rsidRPr="008E38EA">
              <w:t>9</w:t>
            </w:r>
            <w:r w:rsidR="00C501F8" w:rsidRPr="008E38EA">
              <w:t>0.000</w:t>
            </w:r>
          </w:p>
        </w:tc>
      </w:tr>
      <w:tr w:rsidR="00C501F8" w:rsidTr="00C501F8">
        <w:tc>
          <w:tcPr>
            <w:tcW w:w="2802" w:type="dxa"/>
          </w:tcPr>
          <w:p w:rsidR="00C501F8" w:rsidRDefault="00C501F8" w:rsidP="00C501F8">
            <w:r>
              <w:t>Koszty bieżące (art. 35 ust. 1 lit. d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c>
          <w:tcPr>
            <w:tcW w:w="1352"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r>
      <w:tr w:rsidR="00C501F8" w:rsidTr="00C501F8">
        <w:tc>
          <w:tcPr>
            <w:tcW w:w="2802" w:type="dxa"/>
          </w:tcPr>
          <w:p w:rsidR="00C501F8" w:rsidRDefault="00C501F8" w:rsidP="00C501F8">
            <w:r>
              <w:t>Aktywizacja (art. 35 ust. 1 lit. e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1.125.</w:t>
            </w:r>
            <w:r w:rsidR="00316457" w:rsidRPr="00AB2B5E">
              <w:t>5</w:t>
            </w:r>
            <w:r w:rsidRPr="00AB2B5E">
              <w:t>00</w:t>
            </w:r>
          </w:p>
        </w:tc>
        <w:tc>
          <w:tcPr>
            <w:tcW w:w="1352" w:type="dxa"/>
            <w:vAlign w:val="center"/>
          </w:tcPr>
          <w:p w:rsidR="00C501F8" w:rsidRPr="00AB2B5E" w:rsidRDefault="00C501F8" w:rsidP="00316457">
            <w:pPr>
              <w:jc w:val="center"/>
            </w:pPr>
            <w:r w:rsidRPr="00AB2B5E">
              <w:t>1.125.</w:t>
            </w:r>
            <w:r w:rsidR="00316457" w:rsidRPr="00AB2B5E">
              <w:t>5</w:t>
            </w:r>
            <w:r w:rsidRPr="00AB2B5E">
              <w:t>00</w:t>
            </w:r>
          </w:p>
        </w:tc>
      </w:tr>
      <w:tr w:rsidR="00C501F8" w:rsidTr="00C501F8">
        <w:tc>
          <w:tcPr>
            <w:tcW w:w="2802" w:type="dxa"/>
          </w:tcPr>
          <w:p w:rsidR="00C501F8" w:rsidRPr="00461994" w:rsidRDefault="00C501F8" w:rsidP="00C501F8">
            <w:pPr>
              <w:rPr>
                <w:b/>
              </w:rPr>
            </w:pPr>
            <w:r w:rsidRPr="00461994">
              <w:rPr>
                <w:b/>
              </w:rPr>
              <w:t>Razem</w:t>
            </w:r>
          </w:p>
        </w:tc>
        <w:tc>
          <w:tcPr>
            <w:tcW w:w="1275" w:type="dxa"/>
            <w:vAlign w:val="center"/>
          </w:tcPr>
          <w:p w:rsidR="00C501F8" w:rsidRPr="008E38EA" w:rsidRDefault="00622EB3" w:rsidP="00622EB3">
            <w:pPr>
              <w:jc w:val="center"/>
              <w:rPr>
                <w:b/>
              </w:rPr>
            </w:pPr>
            <w:r w:rsidRPr="008E38EA">
              <w:rPr>
                <w:b/>
              </w:rPr>
              <w:t>5</w:t>
            </w:r>
            <w:r w:rsidR="00C501F8" w:rsidRPr="008E38EA">
              <w:rPr>
                <w:b/>
              </w:rPr>
              <w:t>.</w:t>
            </w:r>
            <w:r w:rsidRPr="008E38EA">
              <w:rPr>
                <w:b/>
              </w:rPr>
              <w:t>49</w:t>
            </w:r>
            <w:r w:rsidR="00C501F8" w:rsidRPr="008E38EA">
              <w:rPr>
                <w:b/>
              </w:rPr>
              <w:t>0.000</w:t>
            </w:r>
          </w:p>
        </w:tc>
        <w:tc>
          <w:tcPr>
            <w:tcW w:w="1276" w:type="dxa"/>
            <w:vAlign w:val="center"/>
          </w:tcPr>
          <w:p w:rsidR="00C501F8" w:rsidRPr="008E38EA" w:rsidRDefault="00C501F8" w:rsidP="00C501F8">
            <w:pPr>
              <w:jc w:val="center"/>
              <w:rPr>
                <w:b/>
              </w:rPr>
            </w:pPr>
            <w:r w:rsidRPr="008E38EA">
              <w:rPr>
                <w:b/>
              </w:rPr>
              <w:t>2.560.000</w:t>
            </w:r>
          </w:p>
        </w:tc>
        <w:tc>
          <w:tcPr>
            <w:tcW w:w="1418" w:type="dxa"/>
            <w:vAlign w:val="center"/>
          </w:tcPr>
          <w:p w:rsidR="00C501F8" w:rsidRPr="008E38EA" w:rsidRDefault="00C501F8" w:rsidP="00C501F8">
            <w:pPr>
              <w:jc w:val="center"/>
              <w:rPr>
                <w:b/>
              </w:rPr>
            </w:pPr>
            <w:r w:rsidRPr="008E38EA">
              <w:rPr>
                <w:b/>
              </w:rPr>
              <w:t>6.400.000</w:t>
            </w:r>
          </w:p>
        </w:tc>
        <w:tc>
          <w:tcPr>
            <w:tcW w:w="1134" w:type="dxa"/>
            <w:vAlign w:val="center"/>
          </w:tcPr>
          <w:p w:rsidR="00C501F8" w:rsidRPr="008E38EA" w:rsidRDefault="00C501F8" w:rsidP="00C501F8">
            <w:pPr>
              <w:jc w:val="center"/>
              <w:rPr>
                <w:b/>
              </w:rPr>
            </w:pPr>
            <w:r w:rsidRPr="008E38EA">
              <w:rPr>
                <w:b/>
              </w:rPr>
              <w:t>2.250.000</w:t>
            </w:r>
          </w:p>
        </w:tc>
        <w:tc>
          <w:tcPr>
            <w:tcW w:w="1352" w:type="dxa"/>
            <w:vAlign w:val="center"/>
          </w:tcPr>
          <w:p w:rsidR="00C501F8" w:rsidRPr="008E38EA" w:rsidRDefault="00C501F8" w:rsidP="00622EB3">
            <w:pPr>
              <w:jc w:val="center"/>
              <w:rPr>
                <w:b/>
              </w:rPr>
            </w:pPr>
            <w:r w:rsidRPr="008E38EA">
              <w:rPr>
                <w:b/>
              </w:rPr>
              <w:t>1</w:t>
            </w:r>
            <w:r w:rsidR="00622EB3" w:rsidRPr="008E38EA">
              <w:rPr>
                <w:b/>
              </w:rPr>
              <w:t>6</w:t>
            </w:r>
            <w:r w:rsidRPr="008E38EA">
              <w:rPr>
                <w:b/>
              </w:rPr>
              <w:t>.</w:t>
            </w:r>
            <w:r w:rsidR="00622EB3" w:rsidRPr="008E38EA">
              <w:rPr>
                <w:b/>
              </w:rPr>
              <w:t>70</w:t>
            </w:r>
            <w:r w:rsidRPr="008E38EA">
              <w:rPr>
                <w:b/>
              </w:rPr>
              <w:t>0.000</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w:t>
      </w:r>
      <w:proofErr w:type="spellStart"/>
      <w:r w:rsidRPr="00552968">
        <w:rPr>
          <w:b/>
          <w:color w:val="0070C0"/>
          <w:sz w:val="20"/>
          <w:szCs w:val="20"/>
        </w:rPr>
        <w:t>poddziałania</w:t>
      </w:r>
      <w:proofErr w:type="spellEnd"/>
      <w:r w:rsidRPr="00552968">
        <w:rPr>
          <w:b/>
          <w:color w:val="0070C0"/>
          <w:sz w:val="20"/>
          <w:szCs w:val="20"/>
        </w:rPr>
        <w:t xml:space="preserve"> 19.2 PROW 2014-2020</w:t>
      </w:r>
    </w:p>
    <w:tbl>
      <w:tblPr>
        <w:tblStyle w:val="Tabela-Siatka"/>
        <w:tblW w:w="0" w:type="auto"/>
        <w:tblLook w:val="04A0"/>
      </w:tblPr>
      <w:tblGrid>
        <w:gridCol w:w="2518"/>
        <w:gridCol w:w="1673"/>
        <w:gridCol w:w="1674"/>
        <w:gridCol w:w="1673"/>
        <w:gridCol w:w="1674"/>
      </w:tblGrid>
      <w:tr w:rsidR="000B4FC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0B4FC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E38EA" w:rsidRDefault="004B4B41" w:rsidP="004B4B41">
            <w:pPr>
              <w:jc w:val="center"/>
            </w:pPr>
            <w:r w:rsidRPr="008E38EA">
              <w:t>1</w:t>
            </w:r>
            <w:r w:rsidR="00C501F8" w:rsidRPr="008E38EA">
              <w:t>.</w:t>
            </w:r>
            <w:r w:rsidRPr="008E38EA">
              <w:t>813.455</w:t>
            </w:r>
          </w:p>
        </w:tc>
        <w:tc>
          <w:tcPr>
            <w:tcW w:w="1674" w:type="dxa"/>
            <w:tcBorders>
              <w:bottom w:val="single" w:sz="4" w:space="0" w:color="auto"/>
            </w:tcBorders>
            <w:vAlign w:val="center"/>
          </w:tcPr>
          <w:p w:rsidR="00C501F8" w:rsidRPr="008E38EA" w:rsidRDefault="00C501F8" w:rsidP="004B4B41">
            <w:pPr>
              <w:jc w:val="center"/>
            </w:pPr>
            <w:r w:rsidRPr="008E38EA">
              <w:t>1.</w:t>
            </w:r>
            <w:r w:rsidR="004B4B41" w:rsidRPr="008E38EA">
              <w:t>036.545</w:t>
            </w:r>
          </w:p>
        </w:tc>
        <w:tc>
          <w:tcPr>
            <w:tcW w:w="1673" w:type="dxa"/>
            <w:shd w:val="clear" w:color="auto" w:fill="auto"/>
            <w:vAlign w:val="center"/>
          </w:tcPr>
          <w:p w:rsidR="00C501F8" w:rsidRPr="008E38EA" w:rsidRDefault="00C501F8" w:rsidP="00C501F8">
            <w:pPr>
              <w:jc w:val="center"/>
            </w:pPr>
            <w:r w:rsidRPr="008E38EA">
              <w:t>X</w:t>
            </w:r>
          </w:p>
        </w:tc>
        <w:tc>
          <w:tcPr>
            <w:tcW w:w="1674" w:type="dxa"/>
            <w:vAlign w:val="center"/>
          </w:tcPr>
          <w:p w:rsidR="00C501F8" w:rsidRPr="008E38EA" w:rsidRDefault="004B4B41" w:rsidP="004B4B41">
            <w:pPr>
              <w:jc w:val="center"/>
            </w:pPr>
            <w:r w:rsidRPr="008E38EA">
              <w:t>2</w:t>
            </w:r>
            <w:r w:rsidR="00C501F8" w:rsidRPr="008E38EA">
              <w:t>.</w:t>
            </w:r>
            <w:r w:rsidRPr="008E38EA">
              <w:t>85</w:t>
            </w:r>
            <w:r w:rsidR="00C501F8" w:rsidRPr="008E38EA">
              <w:t>0.000</w:t>
            </w:r>
          </w:p>
        </w:tc>
      </w:tr>
      <w:tr w:rsidR="000B4FC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E38EA" w:rsidRDefault="00F35776" w:rsidP="00C501F8">
            <w:pPr>
              <w:jc w:val="center"/>
            </w:pPr>
            <w:r w:rsidRPr="008E38EA">
              <w:t>1.622.565</w:t>
            </w:r>
          </w:p>
        </w:tc>
        <w:tc>
          <w:tcPr>
            <w:tcW w:w="1674" w:type="dxa"/>
            <w:shd w:val="clear" w:color="auto" w:fill="auto"/>
            <w:vAlign w:val="center"/>
          </w:tcPr>
          <w:p w:rsidR="00C501F8" w:rsidRPr="008E38EA" w:rsidRDefault="00C501F8" w:rsidP="00C501F8">
            <w:pPr>
              <w:jc w:val="center"/>
            </w:pPr>
            <w:r w:rsidRPr="008E38EA">
              <w:t>X</w:t>
            </w:r>
          </w:p>
        </w:tc>
        <w:tc>
          <w:tcPr>
            <w:tcW w:w="1673" w:type="dxa"/>
            <w:vAlign w:val="center"/>
          </w:tcPr>
          <w:p w:rsidR="00C501F8" w:rsidRPr="008E38EA" w:rsidRDefault="00F35776" w:rsidP="00C501F8">
            <w:pPr>
              <w:jc w:val="center"/>
            </w:pPr>
            <w:r w:rsidRPr="008E38EA">
              <w:t>927.435</w:t>
            </w:r>
          </w:p>
        </w:tc>
        <w:tc>
          <w:tcPr>
            <w:tcW w:w="1674" w:type="dxa"/>
            <w:vAlign w:val="center"/>
          </w:tcPr>
          <w:p w:rsidR="00C501F8" w:rsidRPr="008E38EA" w:rsidRDefault="00C501F8" w:rsidP="004B4B41">
            <w:pPr>
              <w:jc w:val="center"/>
            </w:pPr>
            <w:r w:rsidRPr="008E38EA">
              <w:t>2.</w:t>
            </w:r>
            <w:r w:rsidR="004B4B41" w:rsidRPr="008E38EA">
              <w:t>55</w:t>
            </w:r>
            <w:r w:rsidRPr="008E38EA">
              <w:t>0.000</w:t>
            </w:r>
          </w:p>
        </w:tc>
      </w:tr>
      <w:tr w:rsidR="000B4FC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E38EA" w:rsidRDefault="00F35776" w:rsidP="00C501F8">
            <w:pPr>
              <w:jc w:val="center"/>
              <w:rPr>
                <w:b/>
              </w:rPr>
            </w:pPr>
            <w:r w:rsidRPr="008E38EA">
              <w:rPr>
                <w:b/>
              </w:rPr>
              <w:t>3.436.020</w:t>
            </w:r>
          </w:p>
        </w:tc>
        <w:tc>
          <w:tcPr>
            <w:tcW w:w="1674" w:type="dxa"/>
          </w:tcPr>
          <w:p w:rsidR="00C501F8" w:rsidRPr="008E38EA" w:rsidRDefault="00F35776" w:rsidP="00C501F8">
            <w:pPr>
              <w:jc w:val="center"/>
              <w:rPr>
                <w:b/>
              </w:rPr>
            </w:pPr>
            <w:r w:rsidRPr="008E38EA">
              <w:rPr>
                <w:b/>
              </w:rPr>
              <w:t>1.036.545</w:t>
            </w:r>
          </w:p>
        </w:tc>
        <w:tc>
          <w:tcPr>
            <w:tcW w:w="1673" w:type="dxa"/>
          </w:tcPr>
          <w:p w:rsidR="00C501F8" w:rsidRPr="008E38EA" w:rsidRDefault="00F35776" w:rsidP="00C501F8">
            <w:pPr>
              <w:jc w:val="center"/>
              <w:rPr>
                <w:b/>
              </w:rPr>
            </w:pPr>
            <w:r w:rsidRPr="008E38EA">
              <w:rPr>
                <w:b/>
              </w:rPr>
              <w:t>927.435</w:t>
            </w:r>
          </w:p>
        </w:tc>
        <w:tc>
          <w:tcPr>
            <w:tcW w:w="1674" w:type="dxa"/>
          </w:tcPr>
          <w:p w:rsidR="00C501F8" w:rsidRPr="008E38EA" w:rsidRDefault="004B4B41" w:rsidP="004B4B41">
            <w:pPr>
              <w:jc w:val="center"/>
              <w:rPr>
                <w:b/>
              </w:rPr>
            </w:pPr>
            <w:r w:rsidRPr="008E38EA">
              <w:rPr>
                <w:b/>
              </w:rPr>
              <w:t>5</w:t>
            </w:r>
            <w:r w:rsidR="00C501F8" w:rsidRPr="008E38EA">
              <w:rPr>
                <w:b/>
              </w:rPr>
              <w:t>.</w:t>
            </w:r>
            <w:r w:rsidRPr="008E38EA">
              <w:rPr>
                <w:b/>
              </w:rPr>
              <w:t>4</w:t>
            </w:r>
            <w:r w:rsidR="00C501F8" w:rsidRPr="008E38EA">
              <w:rPr>
                <w:b/>
              </w:rPr>
              <w:t>00.000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0" w:type="dxa"/>
        <w:tblInd w:w="-318" w:type="dxa"/>
        <w:tblLayout w:type="fixed"/>
        <w:tblLook w:val="04A0"/>
      </w:tblPr>
      <w:tblGrid>
        <w:gridCol w:w="710"/>
        <w:gridCol w:w="2551"/>
        <w:gridCol w:w="1843"/>
        <w:gridCol w:w="142"/>
        <w:gridCol w:w="2126"/>
        <w:gridCol w:w="2835"/>
        <w:gridCol w:w="142"/>
        <w:gridCol w:w="3118"/>
        <w:gridCol w:w="1843"/>
      </w:tblGrid>
      <w:tr w:rsidR="0009772E" w:rsidRPr="00F00FB8" w:rsidTr="001B2014">
        <w:tc>
          <w:tcPr>
            <w:tcW w:w="710"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1"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Cel komunikacji</w:t>
            </w:r>
          </w:p>
        </w:tc>
        <w:tc>
          <w:tcPr>
            <w:tcW w:w="1843"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Nazwa działania komunikacyjnego</w:t>
            </w:r>
          </w:p>
        </w:tc>
        <w:tc>
          <w:tcPr>
            <w:tcW w:w="2268" w:type="dxa"/>
            <w:gridSpan w:val="2"/>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5" w:type="dxa"/>
            <w:tcBorders>
              <w:bottom w:val="single" w:sz="4" w:space="0" w:color="auto"/>
            </w:tcBorders>
            <w:shd w:val="clear" w:color="auto" w:fill="auto"/>
          </w:tcPr>
          <w:p w:rsidR="0009772E" w:rsidRPr="00F00FB8" w:rsidRDefault="0009772E" w:rsidP="001B2014">
            <w:pPr>
              <w:jc w:val="center"/>
              <w:rPr>
                <w:rFonts w:cs="Times New Roman"/>
                <w:b/>
                <w:color w:val="000000" w:themeColor="text1"/>
              </w:rPr>
            </w:pPr>
            <w:r w:rsidRPr="00F00FB8">
              <w:rPr>
                <w:rFonts w:cs="Times New Roman"/>
                <w:b/>
                <w:color w:val="000000" w:themeColor="text1"/>
              </w:rPr>
              <w:t>Środki przekazu</w:t>
            </w:r>
          </w:p>
        </w:tc>
        <w:tc>
          <w:tcPr>
            <w:tcW w:w="3260" w:type="dxa"/>
            <w:gridSpan w:val="2"/>
            <w:tcBorders>
              <w:bottom w:val="single" w:sz="4" w:space="0" w:color="auto"/>
            </w:tcBorders>
          </w:tcPr>
          <w:p w:rsidR="0009772E" w:rsidRPr="006A4963" w:rsidRDefault="0009772E" w:rsidP="001B2014">
            <w:pPr>
              <w:jc w:val="center"/>
              <w:rPr>
                <w:rFonts w:cs="Times New Roman"/>
                <w:b/>
              </w:rPr>
            </w:pPr>
            <w:r w:rsidRPr="006A4963">
              <w:rPr>
                <w:rFonts w:ascii="Calibri" w:eastAsia="Calibri" w:hAnsi="Calibri" w:cs="Times New Roman"/>
                <w:b/>
              </w:rPr>
              <w:t>Wskaźniki działań komunikacyjnych</w:t>
            </w:r>
          </w:p>
        </w:tc>
        <w:tc>
          <w:tcPr>
            <w:tcW w:w="1843" w:type="dxa"/>
            <w:tcBorders>
              <w:bottom w:val="single" w:sz="4" w:space="0" w:color="auto"/>
            </w:tcBorders>
          </w:tcPr>
          <w:p w:rsidR="0009772E" w:rsidRPr="006A4963" w:rsidRDefault="0009772E" w:rsidP="001B2014">
            <w:pPr>
              <w:jc w:val="center"/>
              <w:rPr>
                <w:rFonts w:cs="Times New Roman"/>
                <w:b/>
              </w:rPr>
            </w:pPr>
            <w:r w:rsidRPr="006A4963">
              <w:rPr>
                <w:rFonts w:cs="Times New Roman"/>
                <w:b/>
              </w:rPr>
              <w:t>Planowane efekty działań komunikacyjnych oraz sposób  ich pomiaru</w:t>
            </w:r>
          </w:p>
        </w:tc>
      </w:tr>
      <w:tr w:rsidR="0009772E" w:rsidRPr="00EA44A8" w:rsidTr="001B2014">
        <w:tc>
          <w:tcPr>
            <w:tcW w:w="15310" w:type="dxa"/>
            <w:gridSpan w:val="9"/>
            <w:tcBorders>
              <w:bottom w:val="single" w:sz="4" w:space="0" w:color="auto"/>
            </w:tcBorders>
            <w:shd w:val="clear" w:color="auto" w:fill="0070C0"/>
          </w:tcPr>
          <w:p w:rsidR="0009772E" w:rsidRPr="006A4963" w:rsidRDefault="0009772E" w:rsidP="001B2014">
            <w:pPr>
              <w:jc w:val="center"/>
              <w:rPr>
                <w:rFonts w:cs="Times New Roman"/>
                <w:b/>
                <w:sz w:val="28"/>
                <w:szCs w:val="28"/>
              </w:rPr>
            </w:pPr>
            <w:r w:rsidRPr="00EA44A8">
              <w:rPr>
                <w:rFonts w:cs="Times New Roman"/>
                <w:b/>
                <w:color w:val="FFFFFF" w:themeColor="background1"/>
                <w:sz w:val="28"/>
                <w:szCs w:val="28"/>
              </w:rPr>
              <w:t>2016</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3" w:type="dxa"/>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268" w:type="dxa"/>
            <w:gridSpan w:val="2"/>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zaproszenia e-mail do organizacji pozarządowych</w:t>
            </w:r>
          </w:p>
          <w:p w:rsidR="0009772E" w:rsidRPr="00EA44A8" w:rsidRDefault="0009772E" w:rsidP="001B2014">
            <w:pPr>
              <w:rPr>
                <w:rFonts w:cs="Times New Roman"/>
              </w:rPr>
            </w:pPr>
            <w:r w:rsidRPr="00EA44A8">
              <w:rPr>
                <w:rFonts w:cs="Times New Roman"/>
              </w:rPr>
              <w:t>- wydarzenie / impreza promocyjna</w:t>
            </w:r>
          </w:p>
          <w:p w:rsidR="0009772E" w:rsidRPr="00EA44A8" w:rsidRDefault="0009772E" w:rsidP="001B2014">
            <w:pPr>
              <w:rPr>
                <w:rFonts w:cs="Times New Roman"/>
              </w:rPr>
            </w:pPr>
            <w:r w:rsidRPr="00EA44A8">
              <w:rPr>
                <w:rFonts w:cs="Times New Roman"/>
              </w:rPr>
              <w:t>- ulotki i broszury informacyjne</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tc>
        <w:tc>
          <w:tcPr>
            <w:tcW w:w="3260" w:type="dxa"/>
            <w:gridSpan w:val="2"/>
          </w:tcPr>
          <w:p w:rsidR="0009772E" w:rsidRPr="004A2D4E" w:rsidRDefault="0009772E" w:rsidP="001B2014">
            <w:pPr>
              <w:rPr>
                <w:rFonts w:cs="Times New Roman"/>
              </w:rPr>
            </w:pPr>
            <w:r w:rsidRPr="004A2D4E">
              <w:rPr>
                <w:rFonts w:cs="Times New Roman"/>
              </w:rPr>
              <w:t>- Liczba ogłoszeń w lokalnej prasie – 2</w:t>
            </w:r>
          </w:p>
          <w:p w:rsidR="0009772E" w:rsidRPr="004A2D4E" w:rsidRDefault="0009772E" w:rsidP="001B2014">
            <w:pPr>
              <w:rPr>
                <w:rFonts w:cs="Times New Roman"/>
              </w:rPr>
            </w:pPr>
            <w:r w:rsidRPr="004A2D4E">
              <w:rPr>
                <w:rFonts w:cs="Times New Roman"/>
              </w:rPr>
              <w:t xml:space="preserve">- Liczba zorganizowanych </w:t>
            </w:r>
            <w:proofErr w:type="spellStart"/>
            <w:r w:rsidRPr="004A2D4E">
              <w:rPr>
                <w:rFonts w:cs="Times New Roman"/>
              </w:rPr>
              <w:t>wyda-rzeń</w:t>
            </w:r>
            <w:proofErr w:type="spellEnd"/>
            <w:r w:rsidRPr="004A2D4E">
              <w:rPr>
                <w:rFonts w:cs="Times New Roman"/>
              </w:rPr>
              <w:t xml:space="preserve"> i imprez promocyjnych –  1</w:t>
            </w:r>
          </w:p>
          <w:p w:rsidR="0009772E" w:rsidRPr="004A2D4E" w:rsidRDefault="0009772E" w:rsidP="001B2014">
            <w:pPr>
              <w:rPr>
                <w:rFonts w:cs="Times New Roman"/>
              </w:rPr>
            </w:pPr>
            <w:r w:rsidRPr="004A2D4E">
              <w:rPr>
                <w:rFonts w:cs="Times New Roman"/>
              </w:rPr>
              <w:t xml:space="preserve">- Liczba imprez na terenie obszaru działania, w których uczestniczyła LGD – 6 </w:t>
            </w:r>
          </w:p>
          <w:p w:rsidR="0009772E" w:rsidRPr="004A2D4E" w:rsidRDefault="0009772E" w:rsidP="001B2014">
            <w:pPr>
              <w:rPr>
                <w:rFonts w:cs="Times New Roman"/>
              </w:rPr>
            </w:pPr>
            <w:r w:rsidRPr="004A2D4E">
              <w:rPr>
                <w:rFonts w:cs="Times New Roman"/>
              </w:rPr>
              <w:t>- Liczba przygotowanych ulotek – 400</w:t>
            </w:r>
          </w:p>
          <w:p w:rsidR="0009772E" w:rsidRPr="004A2D4E" w:rsidRDefault="0009772E" w:rsidP="001B2014">
            <w:pPr>
              <w:rPr>
                <w:rFonts w:cs="Times New Roman"/>
              </w:rPr>
            </w:pPr>
            <w:r w:rsidRPr="004A2D4E">
              <w:rPr>
                <w:rFonts w:cs="Times New Roman"/>
              </w:rPr>
              <w:t>- Liczba przygotowanych broszur informacyjnych – 500</w:t>
            </w:r>
          </w:p>
          <w:p w:rsidR="0009772E" w:rsidRPr="004A2D4E" w:rsidRDefault="0009772E" w:rsidP="001B2014">
            <w:pPr>
              <w:rPr>
                <w:rFonts w:cs="Times New Roman"/>
              </w:rPr>
            </w:pPr>
            <w:r w:rsidRPr="004A2D4E">
              <w:rPr>
                <w:rFonts w:cs="Times New Roman"/>
              </w:rPr>
              <w:t xml:space="preserve">- Liczba przygotowanych broszur informacyjnych skierowanych do grup </w:t>
            </w:r>
            <w:proofErr w:type="spellStart"/>
            <w:r w:rsidRPr="004A2D4E">
              <w:rPr>
                <w:rFonts w:cs="Times New Roman"/>
              </w:rPr>
              <w:t>defaworyzowanych</w:t>
            </w:r>
            <w:proofErr w:type="spellEnd"/>
            <w:r w:rsidRPr="004A2D4E">
              <w:rPr>
                <w:rFonts w:cs="Times New Roman"/>
              </w:rPr>
              <w:t xml:space="preserve"> – 2500 </w:t>
            </w:r>
          </w:p>
          <w:p w:rsidR="0009772E" w:rsidRPr="004A2D4E" w:rsidRDefault="0009772E" w:rsidP="001B2014">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09772E" w:rsidRPr="004A2D4E" w:rsidRDefault="0009772E" w:rsidP="001B2014">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proofErr w:type="spellStart"/>
            <w:r w:rsidRPr="004A2D4E">
              <w:rPr>
                <w:rFonts w:cs="Times New Roman"/>
              </w:rPr>
              <w:t>defaworyzowanych</w:t>
            </w:r>
            <w:proofErr w:type="spellEnd"/>
            <w:r w:rsidRPr="004A2D4E">
              <w:rPr>
                <w:rFonts w:cs="Times New Roman"/>
              </w:rPr>
              <w:t xml:space="preserve"> – 250</w:t>
            </w:r>
          </w:p>
          <w:p w:rsidR="0009772E" w:rsidRPr="004A2D4E" w:rsidRDefault="0009772E" w:rsidP="001B2014">
            <w:pPr>
              <w:rPr>
                <w:rFonts w:cs="Times New Roman"/>
              </w:rPr>
            </w:pPr>
            <w:r w:rsidRPr="004A2D4E">
              <w:rPr>
                <w:rFonts w:cs="Times New Roman"/>
              </w:rPr>
              <w:t xml:space="preserve">- Liczba zorganizowanych spotkań z przedstawicielami grup </w:t>
            </w:r>
            <w:proofErr w:type="spellStart"/>
            <w:r w:rsidRPr="004A2D4E">
              <w:rPr>
                <w:rFonts w:cs="Times New Roman"/>
              </w:rPr>
              <w:t>defaworyzowanych</w:t>
            </w:r>
            <w:proofErr w:type="spellEnd"/>
            <w:r w:rsidRPr="004A2D4E">
              <w:rPr>
                <w:rFonts w:cs="Times New Roman"/>
              </w:rPr>
              <w:t xml:space="preserve"> – 6 </w:t>
            </w:r>
          </w:p>
          <w:p w:rsidR="0009772E" w:rsidRPr="004A2D4E" w:rsidRDefault="0009772E" w:rsidP="001B2014">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09772E" w:rsidRPr="004A2D4E" w:rsidRDefault="0009772E" w:rsidP="001B2014">
            <w:pPr>
              <w:rPr>
                <w:rFonts w:cs="Times New Roman"/>
              </w:rPr>
            </w:pPr>
            <w:r w:rsidRPr="004A2D4E">
              <w:rPr>
                <w:rFonts w:cs="Times New Roman"/>
              </w:rPr>
              <w:t xml:space="preserve">- Liczba wydawnictw i publikacji sfinansowanych przez LGD – 1 </w:t>
            </w:r>
          </w:p>
        </w:tc>
        <w:tc>
          <w:tcPr>
            <w:tcW w:w="1843" w:type="dxa"/>
          </w:tcPr>
          <w:p w:rsidR="0009772E" w:rsidRPr="004A2D4E" w:rsidRDefault="0009772E" w:rsidP="001B2014">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09772E" w:rsidRPr="004A2D4E" w:rsidRDefault="0009772E" w:rsidP="001B2014">
            <w:pPr>
              <w:snapToGrid w:val="0"/>
              <w:spacing w:line="100" w:lineRule="atLeast"/>
              <w:rPr>
                <w:rFonts w:ascii="Calibri" w:eastAsia="DejaVuSans" w:hAnsi="Calibri" w:cs="Calibri"/>
              </w:rPr>
            </w:pPr>
            <w:r w:rsidRPr="004A2D4E">
              <w:rPr>
                <w:rFonts w:cs="Times New Roman"/>
              </w:rPr>
              <w:t xml:space="preserve">- Liczba odbiorców 400 </w:t>
            </w:r>
          </w:p>
          <w:p w:rsidR="0009772E" w:rsidRPr="004A2D4E" w:rsidRDefault="0009772E" w:rsidP="001B2014">
            <w:pPr>
              <w:snapToGrid w:val="0"/>
              <w:spacing w:line="100" w:lineRule="atLeast"/>
              <w:rPr>
                <w:rFonts w:cs="Times New Roman"/>
              </w:rPr>
            </w:pPr>
            <w:r w:rsidRPr="004A2D4E">
              <w:rPr>
                <w:rFonts w:cs="Times New Roman"/>
              </w:rPr>
              <w:t>- Liczba odbiorców 900</w:t>
            </w:r>
          </w:p>
          <w:p w:rsidR="0009772E" w:rsidRPr="004A2D4E" w:rsidRDefault="0009772E" w:rsidP="001B2014">
            <w:pPr>
              <w:snapToGrid w:val="0"/>
              <w:spacing w:line="100" w:lineRule="atLeast"/>
              <w:rPr>
                <w:rFonts w:cs="Times New Roman"/>
              </w:rPr>
            </w:pPr>
          </w:p>
          <w:p w:rsidR="0009772E" w:rsidRPr="004A2D4E" w:rsidRDefault="0009772E" w:rsidP="001B2014">
            <w:pPr>
              <w:snapToGrid w:val="0"/>
              <w:spacing w:line="100" w:lineRule="atLeast"/>
              <w:rPr>
                <w:rFonts w:cs="Times New Roman"/>
              </w:rPr>
            </w:pPr>
            <w:r w:rsidRPr="004A2D4E">
              <w:rPr>
                <w:rFonts w:cs="Times New Roman"/>
              </w:rPr>
              <w:t>- Liczba odbiorców 400</w:t>
            </w:r>
          </w:p>
          <w:p w:rsidR="0009772E" w:rsidRPr="004A2D4E" w:rsidRDefault="0009772E" w:rsidP="001B2014">
            <w:pPr>
              <w:snapToGrid w:val="0"/>
              <w:spacing w:line="100" w:lineRule="atLeast"/>
              <w:rPr>
                <w:rFonts w:cs="Times New Roman"/>
              </w:rPr>
            </w:pPr>
            <w:r w:rsidRPr="004A2D4E">
              <w:rPr>
                <w:rFonts w:cs="Times New Roman"/>
              </w:rPr>
              <w:t>- Liczba odbiorców 500</w:t>
            </w:r>
          </w:p>
          <w:p w:rsidR="0009772E" w:rsidRPr="004A2D4E" w:rsidRDefault="0009772E" w:rsidP="001B2014">
            <w:pPr>
              <w:snapToGrid w:val="0"/>
              <w:spacing w:line="100" w:lineRule="atLeast"/>
              <w:rPr>
                <w:rFonts w:cs="Times New Roman"/>
              </w:rPr>
            </w:pPr>
            <w:r w:rsidRPr="004A2D4E">
              <w:rPr>
                <w:rFonts w:cs="Times New Roman"/>
              </w:rPr>
              <w:t>- Liczba odbiorców 2500</w:t>
            </w:r>
          </w:p>
          <w:p w:rsidR="0009772E" w:rsidRPr="004A2D4E" w:rsidRDefault="0009772E" w:rsidP="001B2014">
            <w:pPr>
              <w:snapToGrid w:val="0"/>
              <w:spacing w:line="100" w:lineRule="atLeast"/>
              <w:rPr>
                <w:rFonts w:cs="Times New Roman"/>
              </w:rPr>
            </w:pPr>
          </w:p>
          <w:p w:rsidR="0009772E" w:rsidRPr="004A2D4E" w:rsidRDefault="0009772E" w:rsidP="001B2014">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09772E" w:rsidRPr="004A2D4E" w:rsidRDefault="0009772E" w:rsidP="001B2014">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150</w:t>
            </w: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500</w:t>
            </w:r>
          </w:p>
          <w:p w:rsidR="0009772E" w:rsidRPr="004A2D4E" w:rsidRDefault="0009772E" w:rsidP="001B2014">
            <w:pPr>
              <w:rPr>
                <w:rFonts w:cs="Times New Roman"/>
              </w:rPr>
            </w:pPr>
          </w:p>
          <w:p w:rsidR="0009772E" w:rsidRPr="004A2D4E" w:rsidRDefault="0009772E" w:rsidP="001B2014">
            <w:pPr>
              <w:rPr>
                <w:rFonts w:cs="Times New Roman"/>
              </w:rPr>
            </w:pPr>
          </w:p>
          <w:p w:rsidR="0009772E" w:rsidRPr="004A2D4E" w:rsidRDefault="0009772E" w:rsidP="001B2014">
            <w:pPr>
              <w:rPr>
                <w:rFonts w:cs="Times New Roman"/>
              </w:rPr>
            </w:pPr>
            <w:r w:rsidRPr="004A2D4E">
              <w:rPr>
                <w:rFonts w:cs="Times New Roman"/>
              </w:rPr>
              <w:t>- Liczba odbiorców 200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2016</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843" w:type="dxa"/>
          </w:tcPr>
          <w:p w:rsidR="0009772E" w:rsidRPr="00F00FB8" w:rsidRDefault="0009772E" w:rsidP="001B2014">
            <w:pPr>
              <w:rPr>
                <w:rFonts w:cs="Times New Roman"/>
              </w:rPr>
            </w:pPr>
            <w:r w:rsidRPr="00F00FB8">
              <w:rPr>
                <w:rFonts w:cs="Times New Roman"/>
              </w:rPr>
              <w:t>Kampania informacyjna nt. ogłoszonego konkursu/konkursów</w:t>
            </w:r>
          </w:p>
        </w:tc>
        <w:tc>
          <w:tcPr>
            <w:tcW w:w="2268" w:type="dxa"/>
            <w:gridSpan w:val="2"/>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Pr>
          <w:p w:rsidR="0009772E" w:rsidRPr="0077543C" w:rsidRDefault="0009772E" w:rsidP="001B2014">
            <w:pPr>
              <w:rPr>
                <w:rFonts w:cs="Times New Roman"/>
              </w:rPr>
            </w:pPr>
            <w:r w:rsidRPr="0077543C">
              <w:rPr>
                <w:rFonts w:cs="Times New Roman"/>
              </w:rPr>
              <w:t>- Liczba ogłoszeń w lokalnej prasie – 2</w:t>
            </w:r>
          </w:p>
          <w:p w:rsidR="0009772E" w:rsidRPr="0077543C" w:rsidRDefault="0009772E" w:rsidP="001B2014">
            <w:pPr>
              <w:rPr>
                <w:rFonts w:cs="Times New Roman"/>
              </w:rPr>
            </w:pPr>
            <w:r w:rsidRPr="0077543C">
              <w:rPr>
                <w:rFonts w:cs="Times New Roman"/>
              </w:rPr>
              <w:t>- Liczba wydrukowanych plakatów ogłoszeniowych – 200</w:t>
            </w:r>
          </w:p>
        </w:tc>
        <w:tc>
          <w:tcPr>
            <w:tcW w:w="1843" w:type="dxa"/>
          </w:tcPr>
          <w:p w:rsidR="0009772E" w:rsidRPr="0077543C" w:rsidRDefault="0009772E" w:rsidP="001B2014">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09772E" w:rsidRPr="0077543C" w:rsidRDefault="0009772E" w:rsidP="001B2014">
            <w:pPr>
              <w:snapToGrid w:val="0"/>
              <w:spacing w:line="100" w:lineRule="atLeast"/>
              <w:rPr>
                <w:rFonts w:cs="Times New Roman"/>
              </w:rPr>
            </w:pPr>
            <w:r w:rsidRPr="0077543C">
              <w:rPr>
                <w:rFonts w:cs="Times New Roman"/>
              </w:rPr>
              <w:t>- Liczba odbiorców 6000</w:t>
            </w:r>
          </w:p>
          <w:p w:rsidR="0009772E" w:rsidRPr="0077543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2016</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3" w:type="dxa"/>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268" w:type="dxa"/>
            <w:gridSpan w:val="2"/>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09772E" w:rsidRPr="00EA44A8" w:rsidRDefault="0009772E" w:rsidP="001B2014">
            <w:pPr>
              <w:rPr>
                <w:rFonts w:cs="Times New Roman"/>
              </w:rPr>
            </w:pPr>
            <w:r w:rsidRPr="00EA44A8">
              <w:rPr>
                <w:rFonts w:cs="Times New Roman"/>
              </w:rPr>
              <w:t>- prezentacje pracowników Biura LGD</w:t>
            </w:r>
          </w:p>
        </w:tc>
        <w:tc>
          <w:tcPr>
            <w:tcW w:w="3260" w:type="dxa"/>
            <w:gridSpan w:val="2"/>
            <w:tcBorders>
              <w:bottom w:val="single" w:sz="4" w:space="0" w:color="auto"/>
            </w:tcBorders>
          </w:tcPr>
          <w:p w:rsidR="0009772E" w:rsidRPr="0077543C" w:rsidRDefault="0009772E" w:rsidP="001B2014">
            <w:pPr>
              <w:spacing w:line="100" w:lineRule="atLeast"/>
              <w:rPr>
                <w:rFonts w:cs="Times New Roman"/>
              </w:rPr>
            </w:pPr>
            <w:r w:rsidRPr="0077543C">
              <w:rPr>
                <w:rFonts w:cs="Times New Roman"/>
              </w:rPr>
              <w:t>- Liczba zorganizowanych spotkań (szkoleń) – 6</w:t>
            </w:r>
          </w:p>
          <w:p w:rsidR="0009772E" w:rsidRPr="0077543C" w:rsidRDefault="0009772E" w:rsidP="001B2014">
            <w:pPr>
              <w:rPr>
                <w:rFonts w:cs="Times New Roman"/>
              </w:rPr>
            </w:pPr>
            <w:r w:rsidRPr="0077543C">
              <w:rPr>
                <w:rFonts w:cs="Times New Roman"/>
              </w:rPr>
              <w:t xml:space="preserve">- Liczba wydrukowanych plakatów ogłoszeniowych –  50  </w:t>
            </w:r>
          </w:p>
          <w:p w:rsidR="0009772E" w:rsidRPr="0077543C" w:rsidRDefault="0009772E" w:rsidP="001B2014">
            <w:pPr>
              <w:spacing w:line="100" w:lineRule="atLeast"/>
              <w:rPr>
                <w:rFonts w:cs="Times New Roman"/>
              </w:rPr>
            </w:pPr>
            <w:r w:rsidRPr="0077543C">
              <w:rPr>
                <w:rFonts w:cs="Times New Roman"/>
              </w:rPr>
              <w:t xml:space="preserve">- Liczba wydrukowanych zaproszeń na konsultacje dla grup </w:t>
            </w:r>
            <w:proofErr w:type="spellStart"/>
            <w:r w:rsidRPr="0077543C">
              <w:rPr>
                <w:rFonts w:cs="Times New Roman"/>
              </w:rPr>
              <w:t>defaworyzowanych</w:t>
            </w:r>
            <w:proofErr w:type="spellEnd"/>
            <w:r w:rsidRPr="0077543C">
              <w:rPr>
                <w:rFonts w:cs="Times New Roman"/>
              </w:rPr>
              <w:t xml:space="preserve"> – 250</w:t>
            </w:r>
          </w:p>
          <w:p w:rsidR="0009772E" w:rsidRPr="0077543C" w:rsidRDefault="0009772E" w:rsidP="001B2014">
            <w:pPr>
              <w:rPr>
                <w:rFonts w:cs="Times New Roman"/>
              </w:rPr>
            </w:pPr>
            <w:r w:rsidRPr="0077543C">
              <w:rPr>
                <w:rFonts w:cs="Times New Roman"/>
              </w:rPr>
              <w:t xml:space="preserve">- Liczba zorganizowanych spotkań z przedstawicielami grup </w:t>
            </w:r>
            <w:proofErr w:type="spellStart"/>
            <w:r w:rsidRPr="0077543C">
              <w:rPr>
                <w:rFonts w:cs="Times New Roman"/>
              </w:rPr>
              <w:t>defaworyzowanych</w:t>
            </w:r>
            <w:proofErr w:type="spellEnd"/>
            <w:r w:rsidRPr="0077543C">
              <w:rPr>
                <w:rFonts w:cs="Times New Roman"/>
              </w:rPr>
              <w:t xml:space="preserve"> – 6 </w:t>
            </w:r>
          </w:p>
          <w:p w:rsidR="0009772E" w:rsidRPr="0077543C" w:rsidRDefault="0009772E" w:rsidP="001B2014">
            <w:pPr>
              <w:rPr>
                <w:rFonts w:cs="Times New Roman"/>
              </w:rPr>
            </w:pPr>
            <w:r w:rsidRPr="0077543C">
              <w:rPr>
                <w:rFonts w:cs="Times New Roman"/>
              </w:rPr>
              <w:t>- Liczba zorganizowanych spotkań informacyjnych w Gminach – 36</w:t>
            </w:r>
          </w:p>
          <w:p w:rsidR="0009772E" w:rsidRPr="0077543C" w:rsidRDefault="0009772E" w:rsidP="001B2014">
            <w:pPr>
              <w:rPr>
                <w:rFonts w:cs="Times New Roman"/>
              </w:rPr>
            </w:pPr>
            <w:r w:rsidRPr="0077543C">
              <w:rPr>
                <w:rFonts w:cs="Times New Roman"/>
              </w:rPr>
              <w:t xml:space="preserve">Liczba szkoleń dla członków Rady – 1  </w:t>
            </w:r>
          </w:p>
        </w:tc>
        <w:tc>
          <w:tcPr>
            <w:tcW w:w="1843" w:type="dxa"/>
            <w:tcBorders>
              <w:bottom w:val="single" w:sz="4" w:space="0" w:color="auto"/>
            </w:tcBorders>
          </w:tcPr>
          <w:p w:rsidR="0009772E" w:rsidRPr="0077543C" w:rsidRDefault="0009772E" w:rsidP="001B2014">
            <w:pPr>
              <w:snapToGrid w:val="0"/>
              <w:spacing w:line="100" w:lineRule="atLeast"/>
              <w:rPr>
                <w:rFonts w:ascii="Calibri" w:eastAsia="DejaVuSans" w:hAnsi="Calibri" w:cs="Calibri"/>
              </w:rPr>
            </w:pPr>
            <w:r w:rsidRPr="0077543C">
              <w:rPr>
                <w:rFonts w:cs="Times New Roman"/>
              </w:rPr>
              <w:t>- Liczba odbiorców 90</w:t>
            </w:r>
          </w:p>
          <w:p w:rsidR="0009772E" w:rsidRPr="0077543C" w:rsidRDefault="0009772E" w:rsidP="001B2014">
            <w:pPr>
              <w:snapToGrid w:val="0"/>
              <w:spacing w:line="100" w:lineRule="atLeast"/>
              <w:rPr>
                <w:rFonts w:cs="Times New Roman"/>
              </w:rPr>
            </w:pPr>
            <w:r w:rsidRPr="0077543C">
              <w:rPr>
                <w:rFonts w:cs="Times New Roman"/>
              </w:rPr>
              <w:t>- Liczba odbiorców 1500</w:t>
            </w:r>
          </w:p>
          <w:p w:rsidR="0009772E" w:rsidRPr="0077543C" w:rsidRDefault="0009772E" w:rsidP="001B2014">
            <w:pPr>
              <w:snapToGrid w:val="0"/>
              <w:spacing w:line="100" w:lineRule="atLeast"/>
              <w:rPr>
                <w:rFonts w:cs="Times New Roman"/>
              </w:rPr>
            </w:pPr>
            <w:r w:rsidRPr="0077543C">
              <w:rPr>
                <w:rFonts w:cs="Times New Roman"/>
              </w:rPr>
              <w:t>- Liczba odbiorców 250</w:t>
            </w:r>
          </w:p>
          <w:p w:rsidR="0009772E" w:rsidRPr="0077543C" w:rsidRDefault="0009772E" w:rsidP="001B2014">
            <w:pPr>
              <w:rPr>
                <w:rFonts w:cs="Times New Roman"/>
                <w:strike/>
              </w:rPr>
            </w:pPr>
          </w:p>
          <w:p w:rsidR="0009772E" w:rsidRPr="0077543C" w:rsidRDefault="0009772E" w:rsidP="001B2014">
            <w:pPr>
              <w:rPr>
                <w:rFonts w:cs="Times New Roman"/>
              </w:rPr>
            </w:pPr>
            <w:r w:rsidRPr="0077543C">
              <w:rPr>
                <w:rFonts w:cs="Times New Roman"/>
              </w:rPr>
              <w:t>- Liczba odbiorców 150</w:t>
            </w:r>
          </w:p>
          <w:p w:rsidR="0009772E" w:rsidRPr="0077543C" w:rsidRDefault="0009772E" w:rsidP="001B2014">
            <w:pPr>
              <w:rPr>
                <w:rFonts w:cs="Times New Roman"/>
              </w:rPr>
            </w:pPr>
          </w:p>
          <w:p w:rsidR="0009772E" w:rsidRPr="0077543C" w:rsidRDefault="0009772E" w:rsidP="001B2014">
            <w:pPr>
              <w:rPr>
                <w:rFonts w:cs="Times New Roman"/>
              </w:rPr>
            </w:pPr>
            <w:r w:rsidRPr="0077543C">
              <w:rPr>
                <w:rFonts w:cs="Times New Roman"/>
              </w:rPr>
              <w:t>- Liczba odbiorców 72</w:t>
            </w:r>
          </w:p>
          <w:p w:rsidR="0009772E" w:rsidRPr="0077543C" w:rsidRDefault="0009772E" w:rsidP="001B2014">
            <w:pPr>
              <w:rPr>
                <w:rFonts w:cs="Times New Roman"/>
              </w:rPr>
            </w:pPr>
            <w:r w:rsidRPr="0077543C">
              <w:rPr>
                <w:rFonts w:cs="Times New Roman"/>
              </w:rPr>
              <w:t>- Liczba odbiorców 15</w:t>
            </w:r>
          </w:p>
        </w:tc>
      </w:tr>
      <w:tr w:rsidR="0009772E" w:rsidRPr="00F00FB8" w:rsidTr="001B2014">
        <w:tc>
          <w:tcPr>
            <w:tcW w:w="710" w:type="dxa"/>
            <w:tcBorders>
              <w:bottom w:val="single" w:sz="4" w:space="0" w:color="auto"/>
            </w:tcBorders>
            <w:shd w:val="clear" w:color="auto" w:fill="auto"/>
          </w:tcPr>
          <w:p w:rsidR="0009772E" w:rsidRPr="00F00FB8" w:rsidRDefault="0009772E" w:rsidP="001B2014">
            <w:pPr>
              <w:rPr>
                <w:rFonts w:cs="Times New Roman"/>
              </w:rPr>
            </w:pPr>
            <w:r>
              <w:rPr>
                <w:rFonts w:cs="Times New Roman"/>
              </w:rPr>
              <w:t xml:space="preserve">II </w:t>
            </w:r>
            <w:proofErr w:type="spellStart"/>
            <w:r>
              <w:rPr>
                <w:rFonts w:cs="Times New Roman"/>
              </w:rPr>
              <w:t>poł</w:t>
            </w:r>
            <w:proofErr w:type="spellEnd"/>
            <w:r>
              <w:rPr>
                <w:rFonts w:cs="Times New Roman"/>
              </w:rPr>
              <w:t>.</w:t>
            </w:r>
            <w:r w:rsidRPr="00F00FB8">
              <w:rPr>
                <w:rFonts w:cs="Times New Roman"/>
              </w:rPr>
              <w:t xml:space="preserve"> 2016</w:t>
            </w:r>
          </w:p>
        </w:tc>
        <w:tc>
          <w:tcPr>
            <w:tcW w:w="2551" w:type="dxa"/>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t xml:space="preserve">Aktywizacja przedstawicieli grup wykluczonych i </w:t>
            </w:r>
            <w:proofErr w:type="spellStart"/>
            <w:r w:rsidRPr="00F00FB8">
              <w:rPr>
                <w:rFonts w:cs="Times New Roman"/>
              </w:rPr>
              <w:t>defaworyzowanych</w:t>
            </w:r>
            <w:proofErr w:type="spellEnd"/>
            <w:r w:rsidRPr="00F00FB8">
              <w:rPr>
                <w:rFonts w:cs="Times New Roman"/>
              </w:rPr>
              <w:t xml:space="preserve"> ze względu na dostęp do rynku pracy poprzez </w:t>
            </w:r>
            <w:r w:rsidRPr="00F00FB8">
              <w:rPr>
                <w:rFonts w:cs="Times New Roman"/>
              </w:rPr>
              <w:lastRenderedPageBreak/>
              <w:t>wsparcie w procesie pozyskiwania dotacji oraz zachętę do udziału w projektach grantowych</w:t>
            </w:r>
          </w:p>
        </w:tc>
        <w:tc>
          <w:tcPr>
            <w:tcW w:w="1843" w:type="dxa"/>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lastRenderedPageBreak/>
              <w:t>Kampania informacyjna nt. głównych założeń LSR na lata 2014-2020</w:t>
            </w:r>
          </w:p>
        </w:tc>
        <w:tc>
          <w:tcPr>
            <w:tcW w:w="2268" w:type="dxa"/>
            <w:gridSpan w:val="2"/>
            <w:tcBorders>
              <w:bottom w:val="single" w:sz="4" w:space="0" w:color="auto"/>
            </w:tcBorders>
            <w:shd w:val="clear" w:color="auto" w:fill="auto"/>
          </w:tcPr>
          <w:p w:rsidR="0009772E" w:rsidRPr="00F00FB8" w:rsidRDefault="0009772E" w:rsidP="001B2014">
            <w:pPr>
              <w:rPr>
                <w:rFonts w:cs="Times New Roman"/>
              </w:rPr>
            </w:pPr>
            <w:r w:rsidRPr="00F00FB8">
              <w:rPr>
                <w:rFonts w:cs="Times New Roman"/>
              </w:rPr>
              <w:t xml:space="preserve">- grupy </w:t>
            </w:r>
            <w:proofErr w:type="spellStart"/>
            <w:r w:rsidRPr="00F00FB8">
              <w:rPr>
                <w:rFonts w:cs="Times New Roman"/>
              </w:rPr>
              <w:t>defaworyzowane</w:t>
            </w:r>
            <w:proofErr w:type="spellEnd"/>
            <w:r w:rsidRPr="00F00FB8">
              <w:rPr>
                <w:rFonts w:cs="Times New Roman"/>
              </w:rPr>
              <w:t xml:space="preserve"> oraz osoby zagrożone wykluczeniem społecznym</w:t>
            </w:r>
          </w:p>
        </w:tc>
        <w:tc>
          <w:tcPr>
            <w:tcW w:w="2835" w:type="dxa"/>
            <w:tcBorders>
              <w:bottom w:val="single" w:sz="4" w:space="0" w:color="auto"/>
            </w:tcBorders>
            <w:shd w:val="clear" w:color="auto" w:fill="auto"/>
          </w:tcPr>
          <w:p w:rsidR="0009772E" w:rsidRPr="00EA44A8" w:rsidRDefault="0009772E" w:rsidP="001B2014">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w:t>
            </w:r>
            <w:r>
              <w:rPr>
                <w:rFonts w:cs="Times New Roman"/>
              </w:rPr>
              <w:t xml:space="preserve">nia dla grup </w:t>
            </w:r>
            <w:proofErr w:type="spellStart"/>
            <w:r>
              <w:rPr>
                <w:rFonts w:cs="Times New Roman"/>
              </w:rPr>
              <w:t>defaworyzowanych</w:t>
            </w:r>
            <w:proofErr w:type="spellEnd"/>
            <w:r>
              <w:rPr>
                <w:rFonts w:cs="Times New Roman"/>
              </w:rPr>
              <w:t xml:space="preserve"> w </w:t>
            </w:r>
            <w:r w:rsidRPr="00EA44A8">
              <w:rPr>
                <w:rFonts w:cs="Times New Roman"/>
              </w:rPr>
              <w:t>gminach</w:t>
            </w:r>
          </w:p>
        </w:tc>
        <w:tc>
          <w:tcPr>
            <w:tcW w:w="3260" w:type="dxa"/>
            <w:gridSpan w:val="2"/>
            <w:tcBorders>
              <w:bottom w:val="single" w:sz="4" w:space="0" w:color="auto"/>
            </w:tcBorders>
          </w:tcPr>
          <w:p w:rsidR="0009772E" w:rsidRPr="0077543C" w:rsidRDefault="0009772E" w:rsidP="001B2014">
            <w:pPr>
              <w:rPr>
                <w:rFonts w:cs="Times New Roman"/>
              </w:rPr>
            </w:pPr>
            <w:r w:rsidRPr="0077543C">
              <w:rPr>
                <w:rFonts w:cs="Times New Roman"/>
              </w:rPr>
              <w:lastRenderedPageBreak/>
              <w:t xml:space="preserve">- Liczba wydrukowanych plakatów ogłoszeniowych – 50 </w:t>
            </w:r>
          </w:p>
          <w:p w:rsidR="0009772E" w:rsidRPr="0077543C" w:rsidRDefault="0009772E" w:rsidP="001B2014">
            <w:pPr>
              <w:rPr>
                <w:rFonts w:cs="Times New Roman"/>
              </w:rPr>
            </w:pPr>
            <w:r w:rsidRPr="0077543C">
              <w:rPr>
                <w:rFonts w:cs="Times New Roman"/>
              </w:rPr>
              <w:t xml:space="preserve">- Liczba wydrukowanych zaproszeń na konsultacje dla grup </w:t>
            </w:r>
            <w:proofErr w:type="spellStart"/>
            <w:r w:rsidRPr="0077543C">
              <w:rPr>
                <w:rFonts w:cs="Times New Roman"/>
              </w:rPr>
              <w:t>defaworyzowanych</w:t>
            </w:r>
            <w:proofErr w:type="spellEnd"/>
            <w:r w:rsidRPr="0077543C">
              <w:rPr>
                <w:rFonts w:cs="Times New Roman"/>
              </w:rPr>
              <w:t xml:space="preserve"> – 250</w:t>
            </w:r>
          </w:p>
          <w:p w:rsidR="0009772E" w:rsidRPr="0077543C" w:rsidRDefault="0009772E" w:rsidP="001B2014">
            <w:pPr>
              <w:rPr>
                <w:rFonts w:cs="Times New Roman"/>
              </w:rPr>
            </w:pPr>
            <w:r w:rsidRPr="0077543C">
              <w:rPr>
                <w:rFonts w:cs="Times New Roman"/>
              </w:rPr>
              <w:t xml:space="preserve"> - Liczba zorganizowanych </w:t>
            </w:r>
            <w:r w:rsidRPr="0077543C">
              <w:rPr>
                <w:rFonts w:cs="Times New Roman"/>
              </w:rPr>
              <w:lastRenderedPageBreak/>
              <w:t xml:space="preserve">spotkań z przedstawicielami grup </w:t>
            </w:r>
            <w:proofErr w:type="spellStart"/>
            <w:r w:rsidRPr="0077543C">
              <w:rPr>
                <w:rFonts w:cs="Times New Roman"/>
              </w:rPr>
              <w:t>defaworyzowanych</w:t>
            </w:r>
            <w:proofErr w:type="spellEnd"/>
            <w:r w:rsidRPr="0077543C">
              <w:rPr>
                <w:rFonts w:cs="Times New Roman"/>
              </w:rPr>
              <w:t xml:space="preserve"> – 6</w:t>
            </w:r>
          </w:p>
          <w:p w:rsidR="0009772E" w:rsidRPr="0077543C" w:rsidRDefault="0009772E" w:rsidP="001B2014">
            <w:pPr>
              <w:rPr>
                <w:rFonts w:cs="Times New Roman"/>
              </w:rPr>
            </w:pPr>
            <w:r w:rsidRPr="0077543C">
              <w:rPr>
                <w:rFonts w:cs="Times New Roman"/>
              </w:rPr>
              <w:t xml:space="preserve">- Liczba spotkań informacyjnych dla mieszkańców w Powiatowym Urzędzie Pracy – 6 </w:t>
            </w:r>
          </w:p>
          <w:p w:rsidR="0009772E" w:rsidRPr="0077543C" w:rsidRDefault="0009772E" w:rsidP="001B2014">
            <w:pPr>
              <w:rPr>
                <w:rFonts w:cs="Times New Roman"/>
              </w:rPr>
            </w:pPr>
          </w:p>
        </w:tc>
        <w:tc>
          <w:tcPr>
            <w:tcW w:w="1843" w:type="dxa"/>
            <w:tcBorders>
              <w:bottom w:val="single" w:sz="4" w:space="0" w:color="auto"/>
            </w:tcBorders>
          </w:tcPr>
          <w:p w:rsidR="0009772E" w:rsidRPr="0077543C" w:rsidRDefault="0009772E" w:rsidP="001B2014">
            <w:pPr>
              <w:snapToGrid w:val="0"/>
              <w:spacing w:line="100" w:lineRule="atLeast"/>
              <w:rPr>
                <w:rFonts w:cs="Times New Roman"/>
              </w:rPr>
            </w:pPr>
            <w:r w:rsidRPr="0077543C">
              <w:rPr>
                <w:rFonts w:cs="Times New Roman"/>
              </w:rPr>
              <w:lastRenderedPageBreak/>
              <w:t>- Liczba odbiorców 1500</w:t>
            </w:r>
          </w:p>
          <w:p w:rsidR="0009772E" w:rsidRPr="0077543C" w:rsidRDefault="0009772E" w:rsidP="001B2014">
            <w:pPr>
              <w:snapToGrid w:val="0"/>
              <w:spacing w:line="100" w:lineRule="atLeast"/>
              <w:rPr>
                <w:rFonts w:cs="Times New Roman"/>
              </w:rPr>
            </w:pPr>
            <w:r w:rsidRPr="0077543C">
              <w:rPr>
                <w:rFonts w:cs="Times New Roman"/>
              </w:rPr>
              <w:t>- Liczba odbiorców 250</w:t>
            </w:r>
          </w:p>
          <w:p w:rsidR="0009772E" w:rsidRPr="0077543C" w:rsidRDefault="0009772E" w:rsidP="001B2014">
            <w:pPr>
              <w:snapToGrid w:val="0"/>
              <w:spacing w:line="100" w:lineRule="atLeast"/>
              <w:rPr>
                <w:rFonts w:cs="Times New Roman"/>
              </w:rPr>
            </w:pPr>
          </w:p>
          <w:p w:rsidR="0009772E" w:rsidRPr="0077543C" w:rsidRDefault="0009772E" w:rsidP="001B2014">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09772E" w:rsidRPr="0077543C" w:rsidRDefault="0009772E" w:rsidP="001B2014">
            <w:pPr>
              <w:snapToGrid w:val="0"/>
              <w:spacing w:line="100" w:lineRule="atLeast"/>
              <w:rPr>
                <w:rFonts w:cs="Times New Roman"/>
              </w:rPr>
            </w:pPr>
          </w:p>
          <w:p w:rsidR="0009772E" w:rsidRPr="0077543C" w:rsidRDefault="0009772E" w:rsidP="001B2014">
            <w:pPr>
              <w:snapToGrid w:val="0"/>
              <w:spacing w:line="100" w:lineRule="atLeast"/>
              <w:rPr>
                <w:rFonts w:cs="Times New Roman"/>
              </w:rPr>
            </w:pPr>
            <w:r w:rsidRPr="0077543C">
              <w:rPr>
                <w:rFonts w:cs="Times New Roman"/>
              </w:rPr>
              <w:t>- Liczba odbiorców 6</w:t>
            </w:r>
          </w:p>
        </w:tc>
      </w:tr>
      <w:tr w:rsidR="0009772E" w:rsidRPr="00F00FB8" w:rsidTr="001B2014">
        <w:tc>
          <w:tcPr>
            <w:tcW w:w="710" w:type="dxa"/>
            <w:tcBorders>
              <w:bottom w:val="single" w:sz="4" w:space="0" w:color="auto"/>
            </w:tcBorders>
            <w:shd w:val="clear" w:color="auto" w:fill="FFFFFF" w:themeFill="background1"/>
          </w:tcPr>
          <w:p w:rsidR="0009772E" w:rsidRPr="00F00FB8" w:rsidRDefault="0009772E" w:rsidP="001B2014">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2016</w:t>
            </w:r>
          </w:p>
        </w:tc>
        <w:tc>
          <w:tcPr>
            <w:tcW w:w="2551" w:type="dxa"/>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3" w:type="dxa"/>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268" w:type="dxa"/>
            <w:gridSpan w:val="2"/>
            <w:tcBorders>
              <w:bottom w:val="single" w:sz="4" w:space="0" w:color="auto"/>
            </w:tcBorders>
            <w:shd w:val="clear" w:color="auto" w:fill="FFFFFF" w:themeFill="background1"/>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shd w:val="clear" w:color="auto" w:fill="FFFFFF" w:themeFill="background1"/>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shd w:val="clear" w:color="auto" w:fill="FFFFFF" w:themeFill="background1"/>
          </w:tcPr>
          <w:p w:rsidR="0009772E" w:rsidRPr="0077543C" w:rsidRDefault="0009772E" w:rsidP="001B2014">
            <w:pPr>
              <w:rPr>
                <w:rFonts w:ascii="Calibri" w:eastAsia="Calibri" w:hAnsi="Calibri" w:cs="Times New Roman"/>
              </w:rPr>
            </w:pPr>
            <w:r w:rsidRPr="0077543C">
              <w:rPr>
                <w:rFonts w:ascii="Calibri" w:eastAsia="Calibri" w:hAnsi="Calibri" w:cs="Times New Roman"/>
              </w:rPr>
              <w:t xml:space="preserve">- Liczba wypełnionych ankiet – informacji zwrotnych od przedstawicieli grup </w:t>
            </w:r>
            <w:proofErr w:type="spellStart"/>
            <w:r w:rsidRPr="0077543C">
              <w:rPr>
                <w:rFonts w:ascii="Calibri" w:eastAsia="Calibri" w:hAnsi="Calibri" w:cs="Times New Roman"/>
              </w:rPr>
              <w:t>defaworyzowanych</w:t>
            </w:r>
            <w:proofErr w:type="spellEnd"/>
            <w:r w:rsidRPr="0077543C">
              <w:rPr>
                <w:rFonts w:ascii="Calibri" w:eastAsia="Calibri" w:hAnsi="Calibri" w:cs="Times New Roman"/>
              </w:rPr>
              <w:t xml:space="preserve"> – 80</w:t>
            </w:r>
          </w:p>
          <w:p w:rsidR="0009772E" w:rsidRPr="0077543C" w:rsidRDefault="0009772E" w:rsidP="001B2014">
            <w:pPr>
              <w:rPr>
                <w:rFonts w:cs="Times New Roman"/>
              </w:rPr>
            </w:pPr>
            <w:r w:rsidRPr="0077543C">
              <w:rPr>
                <w:rFonts w:cs="Times New Roman"/>
              </w:rPr>
              <w:t xml:space="preserve">- Liczba wypełnionych ankiet – informacji zwrotnych od uczestników spotkań – 140 </w:t>
            </w:r>
          </w:p>
        </w:tc>
        <w:tc>
          <w:tcPr>
            <w:tcW w:w="1843" w:type="dxa"/>
            <w:tcBorders>
              <w:bottom w:val="single" w:sz="4" w:space="0" w:color="auto"/>
            </w:tcBorders>
            <w:shd w:val="clear" w:color="auto" w:fill="FFFFFF" w:themeFill="background1"/>
          </w:tcPr>
          <w:p w:rsidR="0009772E" w:rsidRPr="0077543C" w:rsidRDefault="0009772E" w:rsidP="001B2014">
            <w:pPr>
              <w:rPr>
                <w:rFonts w:cs="Times New Roman"/>
              </w:rPr>
            </w:pPr>
            <w:r w:rsidRPr="0077543C">
              <w:rPr>
                <w:rFonts w:cs="Times New Roman"/>
              </w:rPr>
              <w:t>- Liczba odbiorców 80</w:t>
            </w:r>
          </w:p>
          <w:p w:rsidR="0009772E" w:rsidRPr="0077543C" w:rsidRDefault="0009772E" w:rsidP="001B2014">
            <w:pPr>
              <w:rPr>
                <w:rFonts w:cs="Times New Roman"/>
              </w:rPr>
            </w:pPr>
          </w:p>
          <w:p w:rsidR="0009772E" w:rsidRPr="0077543C" w:rsidRDefault="0009772E" w:rsidP="001B2014">
            <w:pPr>
              <w:rPr>
                <w:rFonts w:cs="Times New Roman"/>
              </w:rPr>
            </w:pPr>
          </w:p>
          <w:p w:rsidR="0009772E" w:rsidRPr="0077543C" w:rsidRDefault="0009772E" w:rsidP="001B2014">
            <w:pPr>
              <w:rPr>
                <w:rFonts w:cs="Times New Roman"/>
              </w:rPr>
            </w:pPr>
            <w:r w:rsidRPr="0077543C">
              <w:rPr>
                <w:rFonts w:cs="Times New Roman"/>
              </w:rPr>
              <w:t>- Liczba odbiorców 140</w:t>
            </w:r>
          </w:p>
        </w:tc>
      </w:tr>
      <w:tr w:rsidR="0009772E" w:rsidRPr="00EA44A8" w:rsidTr="001B2014">
        <w:tc>
          <w:tcPr>
            <w:tcW w:w="15310" w:type="dxa"/>
            <w:gridSpan w:val="9"/>
            <w:tcBorders>
              <w:bottom w:val="single" w:sz="4" w:space="0" w:color="auto"/>
            </w:tcBorders>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2017</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Pr>
                <w:rFonts w:cs="Times New Roman"/>
              </w:rPr>
              <w:t>.</w:t>
            </w:r>
            <w:r w:rsidRPr="00F00FB8">
              <w:rPr>
                <w:rFonts w:cs="Times New Roman"/>
              </w:rPr>
              <w:t xml:space="preserve">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AC358E" w:rsidRDefault="0009772E" w:rsidP="001B2014">
            <w:pPr>
              <w:rPr>
                <w:rFonts w:cs="Times New Roman"/>
              </w:rPr>
            </w:pPr>
            <w:r w:rsidRPr="00AC358E">
              <w:rPr>
                <w:rFonts w:cs="Times New Roman"/>
              </w:rPr>
              <w:t>- ogłoszenia w siedzibach JST</w:t>
            </w:r>
          </w:p>
          <w:p w:rsidR="0009772E" w:rsidRPr="00AC358E" w:rsidRDefault="0009772E" w:rsidP="001B2014">
            <w:pPr>
              <w:rPr>
                <w:rFonts w:cs="Times New Roman"/>
              </w:rPr>
            </w:pPr>
            <w:r w:rsidRPr="00AC358E">
              <w:rPr>
                <w:rFonts w:cs="Times New Roman"/>
              </w:rPr>
              <w:t xml:space="preserve">- ogłoszenie na stronie </w:t>
            </w:r>
            <w:proofErr w:type="spellStart"/>
            <w:r w:rsidRPr="00AC358E">
              <w:rPr>
                <w:rFonts w:cs="Times New Roman"/>
              </w:rPr>
              <w:t>www</w:t>
            </w:r>
            <w:proofErr w:type="spellEnd"/>
            <w:r w:rsidRPr="00AC358E">
              <w:rPr>
                <w:rFonts w:cs="Times New Roman"/>
              </w:rPr>
              <w:t xml:space="preserve"> LGD i JST</w:t>
            </w:r>
          </w:p>
          <w:p w:rsidR="0009772E" w:rsidRPr="00AC358E" w:rsidRDefault="0009772E" w:rsidP="001B2014">
            <w:pPr>
              <w:rPr>
                <w:rFonts w:cs="Times New Roman"/>
              </w:rPr>
            </w:pPr>
            <w:r w:rsidRPr="00AC358E">
              <w:rPr>
                <w:rFonts w:cs="Times New Roman"/>
              </w:rPr>
              <w:t xml:space="preserve"> - spotkania informacyjne w gminach</w:t>
            </w:r>
          </w:p>
          <w:p w:rsidR="0009772E" w:rsidRPr="00AC358E" w:rsidRDefault="0009772E" w:rsidP="001B2014">
            <w:pPr>
              <w:rPr>
                <w:rFonts w:cs="Times New Roman"/>
              </w:rPr>
            </w:pPr>
            <w:r w:rsidRPr="00AC358E">
              <w:rPr>
                <w:rFonts w:cs="Times New Roman"/>
              </w:rPr>
              <w:t>- broszura informacyjna</w:t>
            </w:r>
          </w:p>
          <w:p w:rsidR="0009772E" w:rsidRPr="00AC358E" w:rsidRDefault="0009772E" w:rsidP="001B2014">
            <w:pPr>
              <w:rPr>
                <w:rFonts w:cs="Times New Roman"/>
              </w:rPr>
            </w:pPr>
            <w:r w:rsidRPr="00AC358E">
              <w:rPr>
                <w:rFonts w:cs="Times New Roman"/>
              </w:rPr>
              <w:t xml:space="preserve">- zaproszenia na konsultacje dla grup </w:t>
            </w:r>
            <w:proofErr w:type="spellStart"/>
            <w:r w:rsidRPr="00AC358E">
              <w:rPr>
                <w:rFonts w:cs="Times New Roman"/>
              </w:rPr>
              <w:t>defaworyzowanych</w:t>
            </w:r>
            <w:proofErr w:type="spellEnd"/>
            <w:r w:rsidRPr="00AC358E">
              <w:rPr>
                <w:rFonts w:cs="Times New Roman"/>
              </w:rPr>
              <w:t xml:space="preserve"> </w:t>
            </w:r>
          </w:p>
        </w:tc>
        <w:tc>
          <w:tcPr>
            <w:tcW w:w="3260" w:type="dxa"/>
            <w:gridSpan w:val="2"/>
            <w:tcBorders>
              <w:bottom w:val="single" w:sz="4" w:space="0" w:color="auto"/>
            </w:tcBorders>
          </w:tcPr>
          <w:p w:rsidR="0009772E" w:rsidRPr="00AC358E" w:rsidRDefault="0009772E" w:rsidP="001B2014">
            <w:pPr>
              <w:rPr>
                <w:rFonts w:cs="Times New Roman"/>
              </w:rPr>
            </w:pPr>
            <w:r w:rsidRPr="00AC358E">
              <w:rPr>
                <w:rFonts w:cs="Times New Roman"/>
              </w:rPr>
              <w:t>- Liczba spotkań informacyjnych w gminach – 72</w:t>
            </w:r>
          </w:p>
          <w:p w:rsidR="0009772E" w:rsidRPr="00AC358E" w:rsidRDefault="0009772E" w:rsidP="001B2014">
            <w:pPr>
              <w:rPr>
                <w:rFonts w:cs="Times New Roman"/>
              </w:rPr>
            </w:pPr>
            <w:r w:rsidRPr="00AC358E">
              <w:rPr>
                <w:rFonts w:cs="Times New Roman"/>
              </w:rPr>
              <w:t>- Liczba spotkań informacyjnych dla mieszkańców w Powiatowym Urzędzie Pracy – 12</w:t>
            </w:r>
          </w:p>
          <w:p w:rsidR="0009772E" w:rsidRPr="00AC358E" w:rsidRDefault="0009772E" w:rsidP="001B2014">
            <w:pPr>
              <w:rPr>
                <w:rFonts w:cs="Times New Roman"/>
              </w:rPr>
            </w:pPr>
            <w:r w:rsidRPr="00AC358E">
              <w:rPr>
                <w:rFonts w:cs="Times New Roman"/>
              </w:rPr>
              <w:t xml:space="preserve">- Liczba zaproszeń na konsultacje dla grup </w:t>
            </w:r>
            <w:proofErr w:type="spellStart"/>
            <w:r w:rsidRPr="00AC358E">
              <w:rPr>
                <w:rFonts w:cs="Times New Roman"/>
              </w:rPr>
              <w:t>defaworyzowanych</w:t>
            </w:r>
            <w:proofErr w:type="spellEnd"/>
            <w:r w:rsidRPr="00AC358E">
              <w:rPr>
                <w:rFonts w:cs="Times New Roman"/>
              </w:rPr>
              <w:t xml:space="preserve"> – 110</w:t>
            </w:r>
          </w:p>
          <w:p w:rsidR="0009772E" w:rsidRPr="00AC358E" w:rsidRDefault="0009772E" w:rsidP="001B2014">
            <w:pPr>
              <w:rPr>
                <w:rFonts w:cs="Times New Roman"/>
              </w:rPr>
            </w:pPr>
          </w:p>
        </w:tc>
        <w:tc>
          <w:tcPr>
            <w:tcW w:w="1843" w:type="dxa"/>
            <w:tcBorders>
              <w:bottom w:val="single" w:sz="4" w:space="0" w:color="auto"/>
            </w:tcBorders>
          </w:tcPr>
          <w:p w:rsidR="0009772E" w:rsidRPr="00AC358E" w:rsidRDefault="0009772E" w:rsidP="001B2014">
            <w:pPr>
              <w:spacing w:line="100" w:lineRule="atLeast"/>
              <w:rPr>
                <w:rFonts w:cs="Times New Roman"/>
              </w:rPr>
            </w:pPr>
            <w:r w:rsidRPr="00AC358E">
              <w:rPr>
                <w:rFonts w:cs="Times New Roman"/>
              </w:rPr>
              <w:t>- Liczba odbiorców – 120</w:t>
            </w:r>
          </w:p>
          <w:p w:rsidR="0009772E" w:rsidRPr="00AC358E" w:rsidRDefault="0009772E" w:rsidP="001B2014">
            <w:pPr>
              <w:spacing w:line="100" w:lineRule="atLeast"/>
              <w:rPr>
                <w:rFonts w:cs="Times New Roman"/>
              </w:rPr>
            </w:pPr>
            <w:r w:rsidRPr="00AC358E">
              <w:rPr>
                <w:rFonts w:cs="Times New Roman"/>
              </w:rPr>
              <w:t>- Liczba odbiorców 16</w:t>
            </w:r>
          </w:p>
          <w:p w:rsidR="0009772E" w:rsidRPr="00AC358E" w:rsidRDefault="0009772E" w:rsidP="001B2014">
            <w:pPr>
              <w:spacing w:line="100" w:lineRule="atLeast"/>
              <w:rPr>
                <w:rFonts w:cs="Times New Roman"/>
              </w:rPr>
            </w:pPr>
          </w:p>
          <w:p w:rsidR="0009772E" w:rsidRPr="00AC358E" w:rsidRDefault="0009772E" w:rsidP="001B2014">
            <w:pPr>
              <w:spacing w:line="100" w:lineRule="atLeast"/>
              <w:rPr>
                <w:rFonts w:cs="Times New Roman"/>
              </w:rPr>
            </w:pPr>
            <w:r w:rsidRPr="00AC358E">
              <w:rPr>
                <w:rFonts w:cs="Times New Roman"/>
              </w:rPr>
              <w:t>- Liczba odbiorców  110</w:t>
            </w:r>
          </w:p>
          <w:p w:rsidR="0009772E" w:rsidRPr="00AC358E" w:rsidRDefault="0009772E" w:rsidP="001B2014">
            <w:pPr>
              <w:rPr>
                <w:rFonts w:cs="Times New Roman"/>
              </w:rPr>
            </w:pPr>
          </w:p>
          <w:p w:rsidR="0009772E" w:rsidRPr="00AC358E" w:rsidRDefault="0009772E" w:rsidP="001B2014">
            <w:pPr>
              <w:rPr>
                <w:rFonts w:cs="Times New Roman"/>
                <w:strike/>
              </w:rPr>
            </w:pPr>
          </w:p>
        </w:tc>
      </w:tr>
      <w:tr w:rsidR="0009772E" w:rsidRPr="00F00FB8" w:rsidTr="001B2014">
        <w:tc>
          <w:tcPr>
            <w:tcW w:w="710" w:type="dxa"/>
            <w:tcBorders>
              <w:bottom w:val="single" w:sz="4" w:space="0" w:color="auto"/>
            </w:tcBorders>
          </w:tcPr>
          <w:p w:rsidR="0009772E" w:rsidRDefault="0009772E" w:rsidP="001B2014">
            <w:pPr>
              <w:rPr>
                <w:rFonts w:cs="Times New Roman"/>
              </w:rPr>
            </w:pPr>
            <w:r>
              <w:rPr>
                <w:rFonts w:cs="Times New Roman"/>
              </w:rPr>
              <w:t xml:space="preserve">I </w:t>
            </w:r>
            <w:proofErr w:type="spellStart"/>
            <w:r>
              <w:rPr>
                <w:rFonts w:cs="Times New Roman"/>
              </w:rPr>
              <w:t>poł</w:t>
            </w:r>
            <w:proofErr w:type="spellEnd"/>
            <w:r>
              <w:rPr>
                <w:rFonts w:cs="Times New Roman"/>
              </w:rPr>
              <w:t>.</w:t>
            </w:r>
          </w:p>
          <w:p w:rsidR="0009772E" w:rsidRPr="00F00FB8" w:rsidRDefault="0009772E" w:rsidP="001B2014">
            <w:pPr>
              <w:rPr>
                <w:rFonts w:cs="Times New Roman"/>
              </w:rPr>
            </w:pPr>
            <w:r>
              <w:rPr>
                <w:rFonts w:cs="Times New Roman"/>
              </w:rPr>
              <w:t>2017</w:t>
            </w:r>
          </w:p>
        </w:tc>
        <w:tc>
          <w:tcPr>
            <w:tcW w:w="2551" w:type="dxa"/>
            <w:tcBorders>
              <w:bottom w:val="single" w:sz="4" w:space="0" w:color="auto"/>
            </w:tcBorders>
          </w:tcPr>
          <w:p w:rsidR="0009772E" w:rsidRPr="00730DFE" w:rsidRDefault="0009772E" w:rsidP="001B2014">
            <w:pPr>
              <w:rPr>
                <w:rFonts w:cs="Times New Roman"/>
              </w:rPr>
            </w:pPr>
            <w:r w:rsidRPr="00730DFE">
              <w:rPr>
                <w:rFonts w:cs="Times New Roman"/>
              </w:rPr>
              <w:t xml:space="preserve">Zapewnienie informacji dla potencjalnych </w:t>
            </w:r>
            <w:r w:rsidRPr="00730DFE">
              <w:rPr>
                <w:rFonts w:cs="Times New Roman"/>
              </w:rPr>
              <w:lastRenderedPageBreak/>
              <w:t>wnioskodawców o Lokalnej Strategii Rozwoju, jej głównych celach i zasadach przyznawania dofinansowania, promocja LSR</w:t>
            </w:r>
          </w:p>
        </w:tc>
        <w:tc>
          <w:tcPr>
            <w:tcW w:w="1985" w:type="dxa"/>
            <w:gridSpan w:val="2"/>
            <w:tcBorders>
              <w:bottom w:val="single" w:sz="4" w:space="0" w:color="auto"/>
            </w:tcBorders>
          </w:tcPr>
          <w:p w:rsidR="0009772E" w:rsidRPr="00730DFE" w:rsidRDefault="0009772E" w:rsidP="001B2014">
            <w:pPr>
              <w:rPr>
                <w:rFonts w:cs="Times New Roman"/>
              </w:rPr>
            </w:pPr>
            <w:r w:rsidRPr="00730DFE">
              <w:rPr>
                <w:rFonts w:cs="Times New Roman"/>
              </w:rPr>
              <w:lastRenderedPageBreak/>
              <w:t xml:space="preserve">Kampania informacyjna nt. </w:t>
            </w:r>
            <w:r w:rsidRPr="00730DFE">
              <w:rPr>
                <w:rFonts w:cs="Times New Roman"/>
              </w:rPr>
              <w:lastRenderedPageBreak/>
              <w:t>głównych założeń LSR na lata 2014-2020</w:t>
            </w:r>
          </w:p>
        </w:tc>
        <w:tc>
          <w:tcPr>
            <w:tcW w:w="2126" w:type="dxa"/>
            <w:tcBorders>
              <w:bottom w:val="single" w:sz="4" w:space="0" w:color="auto"/>
            </w:tcBorders>
          </w:tcPr>
          <w:p w:rsidR="0009772E" w:rsidRPr="00730DFE" w:rsidRDefault="0009772E" w:rsidP="001B2014">
            <w:pPr>
              <w:rPr>
                <w:rFonts w:cs="Times New Roman"/>
              </w:rPr>
            </w:pPr>
            <w:r w:rsidRPr="00730DFE">
              <w:rPr>
                <w:rFonts w:cs="Times New Roman"/>
              </w:rPr>
              <w:lastRenderedPageBreak/>
              <w:t xml:space="preserve">- wszyscy mieszkańcy obszaru LGD (ogół </w:t>
            </w:r>
            <w:r w:rsidRPr="00730DFE">
              <w:rPr>
                <w:rFonts w:cs="Times New Roman"/>
              </w:rPr>
              <w:lastRenderedPageBreak/>
              <w:t>społeczeństwa)</w:t>
            </w:r>
          </w:p>
        </w:tc>
        <w:tc>
          <w:tcPr>
            <w:tcW w:w="2835" w:type="dxa"/>
            <w:tcBorders>
              <w:bottom w:val="single" w:sz="4" w:space="0" w:color="auto"/>
            </w:tcBorders>
          </w:tcPr>
          <w:p w:rsidR="0009772E" w:rsidRPr="00730DFE" w:rsidRDefault="0009772E" w:rsidP="001B2014">
            <w:pPr>
              <w:rPr>
                <w:rFonts w:cs="Times New Roman"/>
              </w:rPr>
            </w:pPr>
            <w:r w:rsidRPr="00730DFE">
              <w:rPr>
                <w:rFonts w:cs="Times New Roman"/>
              </w:rPr>
              <w:lastRenderedPageBreak/>
              <w:t>- ogłoszenia w siedzibach JST</w:t>
            </w:r>
          </w:p>
          <w:p w:rsidR="0009772E" w:rsidRPr="00730DFE" w:rsidRDefault="0009772E" w:rsidP="001B2014">
            <w:pPr>
              <w:rPr>
                <w:rFonts w:cs="Times New Roman"/>
              </w:rPr>
            </w:pPr>
            <w:r w:rsidRPr="00730DFE">
              <w:rPr>
                <w:rFonts w:cs="Times New Roman"/>
              </w:rPr>
              <w:t xml:space="preserve">- ogłoszenie na stronie </w:t>
            </w:r>
            <w:proofErr w:type="spellStart"/>
            <w:r w:rsidRPr="00730DFE">
              <w:rPr>
                <w:rFonts w:cs="Times New Roman"/>
              </w:rPr>
              <w:t>www</w:t>
            </w:r>
            <w:proofErr w:type="spellEnd"/>
            <w:r w:rsidRPr="00730DFE">
              <w:rPr>
                <w:rFonts w:cs="Times New Roman"/>
              </w:rPr>
              <w:t xml:space="preserve"> </w:t>
            </w:r>
            <w:r w:rsidRPr="00730DFE">
              <w:rPr>
                <w:rFonts w:cs="Times New Roman"/>
              </w:rPr>
              <w:lastRenderedPageBreak/>
              <w:t>LGD i JST</w:t>
            </w:r>
          </w:p>
          <w:p w:rsidR="0009772E" w:rsidRPr="00730DFE" w:rsidRDefault="0009772E" w:rsidP="001B2014">
            <w:pPr>
              <w:rPr>
                <w:rFonts w:cs="Times New Roman"/>
              </w:rPr>
            </w:pPr>
            <w:r w:rsidRPr="00730DFE">
              <w:rPr>
                <w:rFonts w:cs="Times New Roman"/>
              </w:rPr>
              <w:t>- konferencja</w:t>
            </w:r>
          </w:p>
          <w:p w:rsidR="0009772E" w:rsidRPr="00730DFE" w:rsidRDefault="0009772E" w:rsidP="001B2014">
            <w:pPr>
              <w:rPr>
                <w:rFonts w:cs="Times New Roman"/>
              </w:rPr>
            </w:pPr>
            <w:r w:rsidRPr="00730DFE">
              <w:rPr>
                <w:rFonts w:cs="Times New Roman"/>
              </w:rPr>
              <w:t>- ulotki i broszury informacyjne (w tym w zakresie zintegrowanego rozwoju branży turystycznej oraz walki z bezrobociem, ubóstwem i wykluczeniem społecznym)</w:t>
            </w:r>
          </w:p>
        </w:tc>
        <w:tc>
          <w:tcPr>
            <w:tcW w:w="3260" w:type="dxa"/>
            <w:gridSpan w:val="2"/>
            <w:tcBorders>
              <w:bottom w:val="single" w:sz="4" w:space="0" w:color="auto"/>
            </w:tcBorders>
          </w:tcPr>
          <w:p w:rsidR="0009772E" w:rsidRPr="00A05967" w:rsidRDefault="0009772E" w:rsidP="001B2014">
            <w:pPr>
              <w:spacing w:line="100" w:lineRule="atLeast"/>
              <w:rPr>
                <w:rFonts w:cs="Times New Roman"/>
              </w:rPr>
            </w:pPr>
            <w:r w:rsidRPr="00A05967">
              <w:rPr>
                <w:rFonts w:cs="Times New Roman"/>
              </w:rPr>
              <w:lastRenderedPageBreak/>
              <w:t xml:space="preserve">- Liczba zorganizowanych konferencji – 1 </w:t>
            </w:r>
          </w:p>
          <w:p w:rsidR="0009772E" w:rsidRPr="00A05967" w:rsidRDefault="0009772E" w:rsidP="001B2014">
            <w:pPr>
              <w:spacing w:line="100" w:lineRule="atLeast"/>
              <w:rPr>
                <w:rFonts w:cs="Times New Roman"/>
              </w:rPr>
            </w:pPr>
            <w:r w:rsidRPr="00A05967">
              <w:rPr>
                <w:rFonts w:cs="Times New Roman"/>
              </w:rPr>
              <w:lastRenderedPageBreak/>
              <w:t xml:space="preserve">- Liczba wydrukowanych plakatów ogłoszeniowych – 100 </w:t>
            </w:r>
          </w:p>
          <w:p w:rsidR="0009772E" w:rsidRPr="00A05967" w:rsidRDefault="0009772E" w:rsidP="001B2014">
            <w:pPr>
              <w:spacing w:line="100" w:lineRule="atLeast"/>
              <w:rPr>
                <w:rFonts w:cs="Times New Roman"/>
              </w:rPr>
            </w:pPr>
            <w:r w:rsidRPr="00A05967">
              <w:rPr>
                <w:rFonts w:cs="Times New Roman"/>
              </w:rPr>
              <w:t xml:space="preserve">- Liczba wyjazdów studyjnych dla mieszkańców – 1 </w:t>
            </w:r>
          </w:p>
          <w:p w:rsidR="0009772E" w:rsidRPr="00A05967" w:rsidRDefault="0009772E" w:rsidP="001B2014">
            <w:pPr>
              <w:rPr>
                <w:rFonts w:cs="Times New Roman"/>
              </w:rPr>
            </w:pPr>
            <w:r w:rsidRPr="00A05967">
              <w:rPr>
                <w:rFonts w:cs="Times New Roman"/>
              </w:rPr>
              <w:t>- Liczba wydanych ulotek – 400</w:t>
            </w:r>
          </w:p>
          <w:p w:rsidR="0009772E" w:rsidRPr="00A05967" w:rsidRDefault="0009772E" w:rsidP="001B2014">
            <w:pPr>
              <w:rPr>
                <w:rFonts w:cs="Times New Roman"/>
              </w:rPr>
            </w:pPr>
          </w:p>
          <w:p w:rsidR="0009772E" w:rsidRPr="00A05967" w:rsidRDefault="0009772E" w:rsidP="001B2014">
            <w:pPr>
              <w:rPr>
                <w:rFonts w:cs="Times New Roman"/>
              </w:rPr>
            </w:pPr>
            <w:r w:rsidRPr="00A05967">
              <w:rPr>
                <w:rFonts w:cs="Times New Roman"/>
              </w:rPr>
              <w:t>- Liczba wydanych broszur informacyjnych – 370</w:t>
            </w:r>
          </w:p>
          <w:p w:rsidR="0009772E" w:rsidRPr="00A05967" w:rsidRDefault="0009772E" w:rsidP="001B2014">
            <w:pPr>
              <w:rPr>
                <w:rFonts w:cs="Times New Roman"/>
              </w:rPr>
            </w:pPr>
            <w:r w:rsidRPr="00A05967">
              <w:rPr>
                <w:rFonts w:cs="Times New Roman"/>
              </w:rPr>
              <w:t xml:space="preserve">- Liczba wydawnictw i publikacji sfinansowanych przez LGD – 2 </w:t>
            </w:r>
          </w:p>
          <w:p w:rsidR="0009772E" w:rsidRPr="00A05967" w:rsidRDefault="0009772E" w:rsidP="001B2014">
            <w:pPr>
              <w:spacing w:line="100" w:lineRule="atLeast"/>
            </w:pPr>
            <w:r w:rsidRPr="00A05967">
              <w:t xml:space="preserve">- Liczba przedsięwzięć promocyjnych organizowanych przez LGD (przygotowanie gadżetów) – 2 </w:t>
            </w:r>
          </w:p>
        </w:tc>
        <w:tc>
          <w:tcPr>
            <w:tcW w:w="1843" w:type="dxa"/>
            <w:tcBorders>
              <w:bottom w:val="single" w:sz="4" w:space="0" w:color="auto"/>
            </w:tcBorders>
          </w:tcPr>
          <w:p w:rsidR="0009772E" w:rsidRPr="00A05967" w:rsidRDefault="0009772E" w:rsidP="001B2014">
            <w:pPr>
              <w:rPr>
                <w:rFonts w:ascii="Calibri" w:eastAsia="DejaVuSans" w:hAnsi="Calibri" w:cs="Calibri"/>
              </w:rPr>
            </w:pPr>
            <w:r w:rsidRPr="00A05967">
              <w:lastRenderedPageBreak/>
              <w:t>- Liczba odbiorców 50</w:t>
            </w:r>
          </w:p>
          <w:p w:rsidR="0009772E" w:rsidRPr="00A05967" w:rsidRDefault="0009772E" w:rsidP="001B2014">
            <w:pPr>
              <w:snapToGrid w:val="0"/>
              <w:spacing w:line="100" w:lineRule="atLeast"/>
              <w:rPr>
                <w:rFonts w:cs="Times New Roman"/>
              </w:rPr>
            </w:pPr>
            <w:r w:rsidRPr="00A05967">
              <w:rPr>
                <w:rFonts w:cs="Times New Roman"/>
              </w:rPr>
              <w:lastRenderedPageBreak/>
              <w:t>- Liczba odbiorców 3000</w:t>
            </w:r>
          </w:p>
          <w:p w:rsidR="0009772E" w:rsidRPr="00A05967" w:rsidRDefault="0009772E" w:rsidP="001B2014">
            <w:pPr>
              <w:snapToGrid w:val="0"/>
              <w:spacing w:line="100" w:lineRule="atLeast"/>
              <w:rPr>
                <w:rFonts w:cs="Times New Roman"/>
              </w:rPr>
            </w:pPr>
            <w:r w:rsidRPr="00A05967">
              <w:rPr>
                <w:rFonts w:cs="Times New Roman"/>
              </w:rPr>
              <w:t>- Liczba odbiorców 30</w:t>
            </w:r>
          </w:p>
          <w:p w:rsidR="0009772E" w:rsidRPr="00A05967" w:rsidRDefault="0009772E" w:rsidP="001B2014">
            <w:pPr>
              <w:snapToGrid w:val="0"/>
              <w:spacing w:line="100" w:lineRule="atLeast"/>
              <w:rPr>
                <w:rFonts w:ascii="Times New Roman" w:eastAsia="DejaVuSans" w:hAnsi="Times New Roman" w:cs="Times New Roman"/>
                <w:sz w:val="24"/>
                <w:szCs w:val="24"/>
              </w:rPr>
            </w:pPr>
            <w:r w:rsidRPr="00A05967">
              <w:rPr>
                <w:rFonts w:cs="Times New Roman"/>
              </w:rPr>
              <w:t>- Liczba odbiorców 400</w:t>
            </w:r>
          </w:p>
          <w:p w:rsidR="0009772E" w:rsidRPr="00A05967" w:rsidRDefault="0009772E" w:rsidP="001B2014">
            <w:pPr>
              <w:snapToGrid w:val="0"/>
              <w:spacing w:line="100" w:lineRule="atLeast"/>
              <w:rPr>
                <w:rFonts w:cs="Times New Roman"/>
              </w:rPr>
            </w:pPr>
            <w:r w:rsidRPr="00A05967">
              <w:rPr>
                <w:rFonts w:cs="Times New Roman"/>
              </w:rPr>
              <w:t>- Liczba odbiorców 370</w:t>
            </w:r>
          </w:p>
          <w:p w:rsidR="0009772E" w:rsidRPr="00A05967" w:rsidRDefault="0009772E" w:rsidP="001B2014">
            <w:pPr>
              <w:snapToGrid w:val="0"/>
              <w:spacing w:line="100" w:lineRule="atLeast"/>
              <w:rPr>
                <w:rFonts w:cs="Times New Roman"/>
              </w:rPr>
            </w:pPr>
            <w:r w:rsidRPr="00A05967">
              <w:rPr>
                <w:rFonts w:cs="Times New Roman"/>
              </w:rPr>
              <w:t>- Liczba odbiorców 200</w:t>
            </w:r>
          </w:p>
          <w:p w:rsidR="0009772E" w:rsidRPr="00A05967" w:rsidRDefault="0009772E" w:rsidP="001B2014">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3000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interpretacji poszczególnych kryteriów oceny używanych przez Radę LGD, w tym również o kategoriach </w:t>
            </w:r>
            <w:r w:rsidRPr="00F00FB8">
              <w:rPr>
                <w:rFonts w:cs="Times New Roman"/>
              </w:rPr>
              <w:lastRenderedPageBreak/>
              <w:t>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lastRenderedPageBreak/>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 xml:space="preserve">tawiciele grup </w:t>
            </w:r>
            <w:proofErr w:type="spellStart"/>
            <w:r>
              <w:rPr>
                <w:rFonts w:cs="Times New Roman"/>
              </w:rPr>
              <w:t>defaworyzowanych</w:t>
            </w:r>
            <w:proofErr w:type="spellEnd"/>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r w:rsidRPr="00EA44A8">
              <w:rPr>
                <w:rFonts w:cs="Times New Roman"/>
              </w:rPr>
              <w:t xml:space="preserve"> </w:t>
            </w:r>
          </w:p>
          <w:p w:rsidR="0009772E" w:rsidRPr="00EA44A8" w:rsidRDefault="0009772E" w:rsidP="001B2014">
            <w:pPr>
              <w:rPr>
                <w:rFonts w:cs="Times New Roman"/>
              </w:rPr>
            </w:pPr>
            <w:r w:rsidRPr="00EA44A8">
              <w:rPr>
                <w:rFonts w:cs="Times New Roman"/>
              </w:rPr>
              <w:t xml:space="preserve">- prezentacje pracowników </w:t>
            </w:r>
            <w:r w:rsidRPr="00EA44A8">
              <w:rPr>
                <w:rFonts w:cs="Times New Roman"/>
              </w:rPr>
              <w:lastRenderedPageBreak/>
              <w:t>Biura LGD</w:t>
            </w:r>
          </w:p>
        </w:tc>
        <w:tc>
          <w:tcPr>
            <w:tcW w:w="3260" w:type="dxa"/>
            <w:gridSpan w:val="2"/>
            <w:tcBorders>
              <w:bottom w:val="single" w:sz="4" w:space="0" w:color="auto"/>
            </w:tcBorders>
          </w:tcPr>
          <w:p w:rsidR="0009772E" w:rsidRPr="000B192C" w:rsidRDefault="0009772E" w:rsidP="001B2014">
            <w:pPr>
              <w:spacing w:line="100" w:lineRule="atLeast"/>
              <w:rPr>
                <w:rFonts w:cs="Times New Roman"/>
              </w:rPr>
            </w:pPr>
            <w:r w:rsidRPr="000B192C">
              <w:rPr>
                <w:rFonts w:cs="Times New Roman"/>
              </w:rPr>
              <w:lastRenderedPageBreak/>
              <w:t xml:space="preserve">- Liczba zorganizowanych spotkań (szkoleń) – 9  </w:t>
            </w:r>
          </w:p>
          <w:p w:rsidR="0009772E" w:rsidRPr="000B192C" w:rsidRDefault="0009772E" w:rsidP="001B2014">
            <w:pPr>
              <w:rPr>
                <w:rFonts w:cs="Times New Roman"/>
              </w:rPr>
            </w:pPr>
            <w:r w:rsidRPr="000B192C">
              <w:rPr>
                <w:rFonts w:cs="Times New Roman"/>
              </w:rPr>
              <w:t xml:space="preserve">- Liczba wydrukowanych plakatów ogłoszeniowych – 100 </w:t>
            </w:r>
          </w:p>
          <w:p w:rsidR="0009772E" w:rsidRPr="000B192C" w:rsidRDefault="0009772E" w:rsidP="001B2014">
            <w:pPr>
              <w:spacing w:line="100" w:lineRule="atLeast"/>
              <w:rPr>
                <w:rFonts w:cs="Times New Roman"/>
              </w:rPr>
            </w:pPr>
            <w:r w:rsidRPr="000B192C">
              <w:rPr>
                <w:rFonts w:cs="Times New Roman"/>
              </w:rPr>
              <w:t xml:space="preserve">- Liczba zaproszeń na konsultacje dla grup </w:t>
            </w:r>
            <w:proofErr w:type="spellStart"/>
            <w:r w:rsidRPr="000B192C">
              <w:rPr>
                <w:rFonts w:cs="Times New Roman"/>
              </w:rPr>
              <w:t>defaworyzowanych</w:t>
            </w:r>
            <w:proofErr w:type="spellEnd"/>
            <w:r w:rsidRPr="000B192C">
              <w:rPr>
                <w:rFonts w:cs="Times New Roman"/>
              </w:rPr>
              <w:t xml:space="preserve"> – 110</w:t>
            </w:r>
          </w:p>
          <w:p w:rsidR="0009772E" w:rsidRPr="000B192C" w:rsidRDefault="0009772E" w:rsidP="001B2014">
            <w:pPr>
              <w:rPr>
                <w:rFonts w:cs="Times New Roman"/>
              </w:rPr>
            </w:pPr>
            <w:r w:rsidRPr="000B192C">
              <w:rPr>
                <w:rFonts w:cs="Times New Roman"/>
              </w:rPr>
              <w:t>- Liczba wydanych broszur informacyjnych – 365</w:t>
            </w:r>
          </w:p>
        </w:tc>
        <w:tc>
          <w:tcPr>
            <w:tcW w:w="1843" w:type="dxa"/>
            <w:tcBorders>
              <w:bottom w:val="single" w:sz="4" w:space="0" w:color="auto"/>
            </w:tcBorders>
          </w:tcPr>
          <w:p w:rsidR="0009772E" w:rsidRPr="000B192C" w:rsidRDefault="0009772E" w:rsidP="001B2014">
            <w:pPr>
              <w:snapToGrid w:val="0"/>
              <w:spacing w:line="100" w:lineRule="atLeast"/>
              <w:rPr>
                <w:rFonts w:ascii="Calibri" w:eastAsia="DejaVuSans" w:hAnsi="Calibri" w:cs="Calibri"/>
              </w:rPr>
            </w:pPr>
            <w:r w:rsidRPr="000B192C">
              <w:rPr>
                <w:rFonts w:cs="Times New Roman"/>
              </w:rPr>
              <w:t>- Liczba odbiorców 135</w:t>
            </w:r>
          </w:p>
          <w:p w:rsidR="0009772E" w:rsidRPr="000B192C" w:rsidRDefault="0009772E" w:rsidP="001B2014">
            <w:pPr>
              <w:snapToGrid w:val="0"/>
              <w:spacing w:line="100" w:lineRule="atLeast"/>
              <w:rPr>
                <w:rFonts w:cs="Times New Roman"/>
              </w:rPr>
            </w:pPr>
            <w:r w:rsidRPr="000B192C">
              <w:rPr>
                <w:rFonts w:cs="Times New Roman"/>
              </w:rPr>
              <w:t>- Liczba odbiorców 3000</w:t>
            </w:r>
          </w:p>
          <w:p w:rsidR="0009772E" w:rsidRPr="000B192C" w:rsidRDefault="0009772E" w:rsidP="001B2014">
            <w:pPr>
              <w:snapToGrid w:val="0"/>
              <w:spacing w:line="100" w:lineRule="atLeast"/>
              <w:rPr>
                <w:rFonts w:cs="Times New Roman"/>
              </w:rPr>
            </w:pPr>
            <w:r w:rsidRPr="000B192C">
              <w:rPr>
                <w:rFonts w:cs="Times New Roman"/>
              </w:rPr>
              <w:t>- Liczba odbiorców 110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7251A3" w:rsidRDefault="0009772E" w:rsidP="001B2014">
            <w:pPr>
              <w:rPr>
                <w:rFonts w:cs="Times New Roman"/>
              </w:rPr>
            </w:pPr>
            <w:r w:rsidRPr="007251A3">
              <w:rPr>
                <w:rFonts w:cs="Times New Roman"/>
              </w:rPr>
              <w:t>- ogłoszenia w lokalnej prasie</w:t>
            </w:r>
          </w:p>
          <w:p w:rsidR="0009772E" w:rsidRPr="007251A3" w:rsidRDefault="0009772E" w:rsidP="001B2014">
            <w:pPr>
              <w:rPr>
                <w:rFonts w:cs="Times New Roman"/>
              </w:rPr>
            </w:pPr>
            <w:r w:rsidRPr="007251A3">
              <w:rPr>
                <w:rFonts w:cs="Times New Roman"/>
              </w:rPr>
              <w:t>- ogłoszenia w siedzibach JST</w:t>
            </w:r>
          </w:p>
          <w:p w:rsidR="0009772E" w:rsidRPr="007251A3" w:rsidRDefault="0009772E" w:rsidP="001B2014">
            <w:pPr>
              <w:rPr>
                <w:rFonts w:cs="Times New Roman"/>
              </w:rPr>
            </w:pPr>
            <w:r w:rsidRPr="007251A3">
              <w:rPr>
                <w:rFonts w:cs="Times New Roman"/>
              </w:rPr>
              <w:t xml:space="preserve">- ogłoszenie na stronie </w:t>
            </w:r>
            <w:proofErr w:type="spellStart"/>
            <w:r w:rsidRPr="007251A3">
              <w:rPr>
                <w:rFonts w:cs="Times New Roman"/>
              </w:rPr>
              <w:t>www</w:t>
            </w:r>
            <w:proofErr w:type="spellEnd"/>
            <w:r w:rsidRPr="007251A3">
              <w:rPr>
                <w:rFonts w:cs="Times New Roman"/>
              </w:rPr>
              <w:t xml:space="preserve"> LGD i JST</w:t>
            </w:r>
          </w:p>
          <w:p w:rsidR="0009772E" w:rsidRPr="007251A3" w:rsidRDefault="0009772E" w:rsidP="001B2014">
            <w:pPr>
              <w:rPr>
                <w:rFonts w:cs="Times New Roman"/>
              </w:rPr>
            </w:pPr>
            <w:r w:rsidRPr="007251A3">
              <w:rPr>
                <w:rFonts w:cs="Times New Roman"/>
              </w:rPr>
              <w:t>- zaproszenia e-mail do organizacji pozarządowych</w:t>
            </w:r>
          </w:p>
          <w:p w:rsidR="0009772E" w:rsidRPr="007251A3" w:rsidRDefault="0009772E" w:rsidP="001B2014">
            <w:pPr>
              <w:rPr>
                <w:rFonts w:cs="Times New Roman"/>
              </w:rPr>
            </w:pPr>
            <w:r w:rsidRPr="007251A3">
              <w:rPr>
                <w:rFonts w:cs="Times New Roman"/>
              </w:rPr>
              <w:t>- wydarzenie / impreza promocyjna</w:t>
            </w:r>
          </w:p>
          <w:p w:rsidR="0009772E" w:rsidRPr="007251A3" w:rsidRDefault="0009772E" w:rsidP="001B2014">
            <w:pPr>
              <w:rPr>
                <w:rFonts w:cs="Times New Roman"/>
              </w:rPr>
            </w:pPr>
            <w:r w:rsidRPr="007251A3">
              <w:rPr>
                <w:rFonts w:cs="Times New Roman"/>
              </w:rPr>
              <w:t>- ulotki i broszury informacyjne</w:t>
            </w:r>
          </w:p>
          <w:p w:rsidR="0009772E" w:rsidRPr="007251A3" w:rsidRDefault="0009772E" w:rsidP="001B2014">
            <w:pPr>
              <w:rPr>
                <w:rFonts w:cs="Times New Roman"/>
              </w:rPr>
            </w:pPr>
            <w:r w:rsidRPr="007251A3">
              <w:rPr>
                <w:rFonts w:cs="Times New Roman"/>
              </w:rPr>
              <w:t xml:space="preserve">- zaproszenia na konsultacje dla grup </w:t>
            </w:r>
            <w:proofErr w:type="spellStart"/>
            <w:r w:rsidRPr="007251A3">
              <w:rPr>
                <w:rFonts w:cs="Times New Roman"/>
              </w:rPr>
              <w:t>defaworyzowanych</w:t>
            </w:r>
            <w:proofErr w:type="spellEnd"/>
          </w:p>
        </w:tc>
        <w:tc>
          <w:tcPr>
            <w:tcW w:w="3260" w:type="dxa"/>
            <w:gridSpan w:val="2"/>
            <w:tcBorders>
              <w:bottom w:val="single" w:sz="4" w:space="0" w:color="auto"/>
            </w:tcBorders>
          </w:tcPr>
          <w:p w:rsidR="0009772E" w:rsidRPr="007251A3" w:rsidRDefault="0009772E" w:rsidP="001B2014">
            <w:pPr>
              <w:spacing w:line="100" w:lineRule="atLeast"/>
              <w:rPr>
                <w:rFonts w:cs="Times New Roman"/>
              </w:rPr>
            </w:pPr>
            <w:r w:rsidRPr="007251A3">
              <w:rPr>
                <w:rFonts w:cs="Times New Roman"/>
              </w:rPr>
              <w:t xml:space="preserve">- Liczba ogłoszeń w lokalnej prasie – 2 </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 110  </w:t>
            </w:r>
          </w:p>
          <w:p w:rsidR="0009772E" w:rsidRPr="007251A3" w:rsidRDefault="0009772E" w:rsidP="001B2014">
            <w:pPr>
              <w:spacing w:line="100" w:lineRule="atLeast"/>
              <w:rPr>
                <w:rFonts w:cs="Times New Roman"/>
              </w:rPr>
            </w:pPr>
            <w:r w:rsidRPr="007251A3">
              <w:rPr>
                <w:rFonts w:cs="Times New Roman"/>
              </w:rPr>
              <w:t>- Liczba zorganizowanych wydarzeń i imprez promocyjnych – 1</w:t>
            </w:r>
          </w:p>
          <w:p w:rsidR="0009772E" w:rsidRPr="007251A3" w:rsidRDefault="0009772E" w:rsidP="001B2014">
            <w:pPr>
              <w:spacing w:line="100" w:lineRule="atLeast"/>
              <w:rPr>
                <w:rFonts w:cs="Times New Roman"/>
              </w:rPr>
            </w:pPr>
            <w:r w:rsidRPr="007251A3">
              <w:rPr>
                <w:rFonts w:cs="Times New Roman"/>
              </w:rPr>
              <w:t>- Liczba wydrukowanych plakatów ogłoszeniowych – 100</w:t>
            </w:r>
          </w:p>
          <w:p w:rsidR="0009772E" w:rsidRPr="007251A3" w:rsidRDefault="0009772E" w:rsidP="001B2014">
            <w:pPr>
              <w:spacing w:line="100" w:lineRule="atLeast"/>
              <w:rPr>
                <w:rFonts w:cs="Times New Roman"/>
              </w:rPr>
            </w:pPr>
            <w:r w:rsidRPr="007251A3">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110</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Liczba odbiorców 400 </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cs="Times New Roman"/>
              </w:rPr>
            </w:pPr>
            <w:r w:rsidRPr="007251A3">
              <w:rPr>
                <w:rFonts w:cs="Times New Roman"/>
              </w:rPr>
              <w:t>- Liczba odbiorców 3000</w:t>
            </w:r>
          </w:p>
          <w:p w:rsidR="0009772E" w:rsidRPr="007251A3" w:rsidRDefault="0009772E" w:rsidP="001B2014">
            <w:pPr>
              <w:snapToGrid w:val="0"/>
              <w:spacing w:line="100" w:lineRule="atLeast"/>
              <w:rPr>
                <w:rFonts w:ascii="Times New Roman" w:eastAsia="DejaVuSans" w:hAnsi="Times New Roman" w:cs="Times New Roman"/>
                <w:sz w:val="24"/>
                <w:szCs w:val="24"/>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I</w:t>
            </w:r>
            <w:r>
              <w:rPr>
                <w:rFonts w:cs="Times New Roman"/>
              </w:rPr>
              <w:t>I</w:t>
            </w:r>
            <w:r w:rsidRPr="00F00FB8">
              <w:rPr>
                <w:rFonts w:cs="Times New Roman"/>
              </w:rPr>
              <w:t xml:space="preserve">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7251A3" w:rsidRDefault="0009772E" w:rsidP="001B2014">
            <w:pPr>
              <w:rPr>
                <w:rFonts w:cs="Times New Roman"/>
              </w:rPr>
            </w:pPr>
            <w:r w:rsidRPr="007251A3">
              <w:rPr>
                <w:rFonts w:cs="Times New Roman"/>
              </w:rPr>
              <w:t>- ogłoszenia w lokalnej prasie</w:t>
            </w:r>
          </w:p>
          <w:p w:rsidR="0009772E" w:rsidRPr="007251A3" w:rsidRDefault="0009772E" w:rsidP="001B2014">
            <w:pPr>
              <w:rPr>
                <w:rFonts w:cs="Times New Roman"/>
              </w:rPr>
            </w:pPr>
            <w:r w:rsidRPr="007251A3">
              <w:rPr>
                <w:rFonts w:cs="Times New Roman"/>
              </w:rPr>
              <w:t>- ogłoszenia w siedzibach JST</w:t>
            </w:r>
          </w:p>
          <w:p w:rsidR="0009772E" w:rsidRPr="007251A3" w:rsidRDefault="0009772E" w:rsidP="001B2014">
            <w:pPr>
              <w:rPr>
                <w:rFonts w:cs="Times New Roman"/>
              </w:rPr>
            </w:pPr>
            <w:r w:rsidRPr="007251A3">
              <w:rPr>
                <w:rFonts w:cs="Times New Roman"/>
              </w:rPr>
              <w:t xml:space="preserve">- ogłoszenie na stronie </w:t>
            </w:r>
            <w:proofErr w:type="spellStart"/>
            <w:r w:rsidRPr="007251A3">
              <w:rPr>
                <w:rFonts w:cs="Times New Roman"/>
              </w:rPr>
              <w:t>www</w:t>
            </w:r>
            <w:proofErr w:type="spellEnd"/>
            <w:r w:rsidRPr="007251A3">
              <w:rPr>
                <w:rFonts w:cs="Times New Roman"/>
              </w:rPr>
              <w:t xml:space="preserve"> LGD i JST</w:t>
            </w:r>
          </w:p>
          <w:p w:rsidR="0009772E" w:rsidRPr="007251A3" w:rsidRDefault="0009772E" w:rsidP="001B2014">
            <w:pPr>
              <w:rPr>
                <w:rFonts w:cs="Times New Roman"/>
              </w:rPr>
            </w:pPr>
            <w:r w:rsidRPr="007251A3">
              <w:rPr>
                <w:rFonts w:cs="Times New Roman"/>
              </w:rPr>
              <w:t>- zaproszenia e-mail do organizacji pozarządowych</w:t>
            </w:r>
          </w:p>
          <w:p w:rsidR="0009772E" w:rsidRPr="007251A3" w:rsidRDefault="0009772E" w:rsidP="001B2014">
            <w:pPr>
              <w:rPr>
                <w:rFonts w:cs="Times New Roman"/>
              </w:rPr>
            </w:pPr>
            <w:r w:rsidRPr="007251A3">
              <w:rPr>
                <w:rFonts w:cs="Times New Roman"/>
              </w:rPr>
              <w:t>- wydarzenie / impreza promocyjna</w:t>
            </w:r>
          </w:p>
          <w:p w:rsidR="0009772E" w:rsidRPr="007251A3" w:rsidRDefault="0009772E" w:rsidP="001B2014">
            <w:pPr>
              <w:rPr>
                <w:rFonts w:cs="Times New Roman"/>
              </w:rPr>
            </w:pPr>
            <w:r w:rsidRPr="007251A3">
              <w:rPr>
                <w:rFonts w:cs="Times New Roman"/>
              </w:rPr>
              <w:t>- ulotki i broszury informacyjne</w:t>
            </w:r>
          </w:p>
          <w:p w:rsidR="0009772E" w:rsidRPr="007251A3" w:rsidRDefault="0009772E" w:rsidP="001B2014">
            <w:pPr>
              <w:rPr>
                <w:rFonts w:cs="Times New Roman"/>
              </w:rPr>
            </w:pPr>
            <w:r w:rsidRPr="007251A3">
              <w:rPr>
                <w:rFonts w:cs="Times New Roman"/>
              </w:rPr>
              <w:t xml:space="preserve">- zaproszenia na konsultacje dla grup </w:t>
            </w:r>
            <w:proofErr w:type="spellStart"/>
            <w:r w:rsidRPr="007251A3">
              <w:rPr>
                <w:rFonts w:cs="Times New Roman"/>
              </w:rPr>
              <w:t>defaworyzowanych</w:t>
            </w:r>
            <w:proofErr w:type="spellEnd"/>
          </w:p>
        </w:tc>
        <w:tc>
          <w:tcPr>
            <w:tcW w:w="3260" w:type="dxa"/>
            <w:gridSpan w:val="2"/>
            <w:tcBorders>
              <w:bottom w:val="single" w:sz="4" w:space="0" w:color="auto"/>
            </w:tcBorders>
          </w:tcPr>
          <w:p w:rsidR="0009772E" w:rsidRPr="000B192C" w:rsidRDefault="0009772E" w:rsidP="001B2014">
            <w:pPr>
              <w:rPr>
                <w:rFonts w:cs="Times New Roman"/>
              </w:rPr>
            </w:pPr>
            <w:r w:rsidRPr="000B192C">
              <w:rPr>
                <w:rFonts w:cs="Times New Roman"/>
              </w:rPr>
              <w:t>- Liczba ogłoszeń w lokalnej prasie – 2</w:t>
            </w:r>
          </w:p>
          <w:p w:rsidR="0009772E" w:rsidRPr="000B192C" w:rsidRDefault="0009772E" w:rsidP="001B2014">
            <w:pPr>
              <w:rPr>
                <w:rFonts w:cs="Times New Roman"/>
              </w:rPr>
            </w:pPr>
            <w:r w:rsidRPr="000B192C">
              <w:rPr>
                <w:rFonts w:cs="Times New Roman"/>
              </w:rPr>
              <w:t>- liczba organizowanych wydarzeń i imprez promocyjnych – 1</w:t>
            </w:r>
          </w:p>
          <w:p w:rsidR="0009772E" w:rsidRPr="000B192C" w:rsidRDefault="0009772E" w:rsidP="001B2014">
            <w:pPr>
              <w:rPr>
                <w:rFonts w:cs="Times New Roman"/>
              </w:rPr>
            </w:pPr>
            <w:r w:rsidRPr="000B192C">
              <w:rPr>
                <w:rFonts w:cs="Times New Roman"/>
              </w:rPr>
              <w:t xml:space="preserve">- Liczba wyjazdów studyjnych dla mieszkańców – 1 </w:t>
            </w:r>
          </w:p>
          <w:p w:rsidR="0009772E" w:rsidRPr="000B192C" w:rsidRDefault="0009772E" w:rsidP="001B2014">
            <w:pPr>
              <w:rPr>
                <w:rFonts w:cs="Times New Roman"/>
              </w:rPr>
            </w:pPr>
            <w:r w:rsidRPr="000B192C">
              <w:rPr>
                <w:rFonts w:cs="Times New Roman"/>
              </w:rPr>
              <w:t xml:space="preserve">- Liczba imprez targowych lub innych imprez krajowych, w których uczestniczy LGD – 1 </w:t>
            </w:r>
          </w:p>
          <w:p w:rsidR="0009772E" w:rsidRPr="000B192C" w:rsidRDefault="0009772E" w:rsidP="001B2014">
            <w:pPr>
              <w:rPr>
                <w:rFonts w:cs="Times New Roman"/>
              </w:rPr>
            </w:pPr>
            <w:r w:rsidRPr="000B192C">
              <w:rPr>
                <w:rFonts w:cs="Times New Roman"/>
              </w:rPr>
              <w:t>- Liczba wydanych ulotek – 400</w:t>
            </w:r>
          </w:p>
          <w:p w:rsidR="0009772E" w:rsidRPr="000B192C" w:rsidRDefault="0009772E" w:rsidP="001B2014">
            <w:pPr>
              <w:rPr>
                <w:rFonts w:cs="Times New Roman"/>
              </w:rPr>
            </w:pPr>
          </w:p>
          <w:p w:rsidR="0009772E" w:rsidRPr="000B192C" w:rsidRDefault="0009772E" w:rsidP="001B2014">
            <w:pPr>
              <w:rPr>
                <w:rFonts w:cs="Times New Roman"/>
              </w:rPr>
            </w:pPr>
            <w:r w:rsidRPr="000B192C">
              <w:rPr>
                <w:rFonts w:cs="Times New Roman"/>
              </w:rPr>
              <w:t>- Liczba wydanych broszur informacyjnych – 365</w:t>
            </w:r>
          </w:p>
          <w:p w:rsidR="0009772E" w:rsidRPr="000B192C" w:rsidRDefault="0009772E" w:rsidP="001B2014">
            <w:pPr>
              <w:rPr>
                <w:rFonts w:cs="Times New Roman"/>
              </w:rPr>
            </w:pPr>
            <w:r w:rsidRPr="000B192C">
              <w:rPr>
                <w:rFonts w:cs="Times New Roman"/>
              </w:rPr>
              <w:t xml:space="preserve">- Liczba wydawnictw i publikacji sfinansowanych przez LGD – 2 </w:t>
            </w:r>
          </w:p>
          <w:p w:rsidR="0009772E" w:rsidRPr="000B192C" w:rsidRDefault="0009772E" w:rsidP="001B2014">
            <w:pPr>
              <w:rPr>
                <w:rFonts w:cs="Times New Roman"/>
              </w:rPr>
            </w:pPr>
            <w:r w:rsidRPr="000B192C">
              <w:rPr>
                <w:rFonts w:cs="Times New Roman"/>
              </w:rPr>
              <w:t xml:space="preserve">- Liczba przedsięwzięć promocyjnych organizowanych </w:t>
            </w:r>
            <w:r w:rsidRPr="000B192C">
              <w:rPr>
                <w:rFonts w:cs="Times New Roman"/>
              </w:rPr>
              <w:lastRenderedPageBreak/>
              <w:t xml:space="preserve">przez LGD (przygotowanie gadżetów) – 2 </w:t>
            </w:r>
          </w:p>
          <w:p w:rsidR="0009772E" w:rsidRPr="000B192C" w:rsidRDefault="0009772E" w:rsidP="001B2014">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09772E" w:rsidRPr="000B192C" w:rsidRDefault="0009772E" w:rsidP="001B2014">
            <w:pPr>
              <w:rPr>
                <w:rFonts w:cs="Times New Roman"/>
              </w:rPr>
            </w:pPr>
            <w:r w:rsidRPr="000B192C">
              <w:rPr>
                <w:rFonts w:ascii="Calibri" w:eastAsia="Calibri" w:hAnsi="Calibri" w:cs="Times New Roman"/>
              </w:rPr>
              <w:t xml:space="preserve">- Liczba imprez na terenie obszaru działania, w których uczestniczy LGD – 6 </w:t>
            </w:r>
          </w:p>
          <w:p w:rsidR="0009772E" w:rsidRPr="000B192C" w:rsidRDefault="0009772E" w:rsidP="001B2014">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proofErr w:type="spellStart"/>
            <w:r w:rsidRPr="000B192C">
              <w:rPr>
                <w:rFonts w:cs="Times New Roman"/>
              </w:rPr>
              <w:t>defaworyzowanych</w:t>
            </w:r>
            <w:proofErr w:type="spellEnd"/>
            <w:r w:rsidRPr="000B192C">
              <w:rPr>
                <w:rFonts w:cs="Times New Roman"/>
              </w:rPr>
              <w:t xml:space="preserve"> – </w:t>
            </w:r>
            <w:r w:rsidRPr="000B192C">
              <w:rPr>
                <w:rFonts w:ascii="Calibri" w:eastAsia="Calibri" w:hAnsi="Calibri" w:cs="Times New Roman"/>
              </w:rPr>
              <w:t>110</w:t>
            </w:r>
            <w:r w:rsidRPr="000B192C">
              <w:rPr>
                <w:rFonts w:cs="Times New Roman"/>
              </w:rPr>
              <w:t xml:space="preserve"> </w:t>
            </w:r>
          </w:p>
        </w:tc>
        <w:tc>
          <w:tcPr>
            <w:tcW w:w="1843" w:type="dxa"/>
            <w:tcBorders>
              <w:bottom w:val="single" w:sz="4" w:space="0" w:color="auto"/>
            </w:tcBorders>
          </w:tcPr>
          <w:p w:rsidR="0009772E" w:rsidRPr="000B192C" w:rsidRDefault="0009772E" w:rsidP="001B2014">
            <w:pPr>
              <w:snapToGrid w:val="0"/>
              <w:spacing w:line="100" w:lineRule="atLeast"/>
              <w:rPr>
                <w:rFonts w:cs="Times New Roman"/>
              </w:rPr>
            </w:pPr>
            <w:r w:rsidRPr="000B192C">
              <w:rPr>
                <w:rFonts w:cs="Times New Roman"/>
              </w:rPr>
              <w:lastRenderedPageBreak/>
              <w:t>- Liczba odbiorców 8000</w:t>
            </w:r>
          </w:p>
          <w:p w:rsidR="0009772E" w:rsidRPr="000B192C" w:rsidRDefault="0009772E" w:rsidP="001B2014">
            <w:pPr>
              <w:snapToGrid w:val="0"/>
              <w:spacing w:line="100" w:lineRule="atLeast"/>
              <w:rPr>
                <w:rFonts w:ascii="Calibri" w:eastAsia="DejaVuSans" w:hAnsi="Calibri" w:cs="Calibri"/>
              </w:rPr>
            </w:pPr>
            <w:r w:rsidRPr="000B192C">
              <w:rPr>
                <w:rFonts w:cs="Times New Roman"/>
              </w:rPr>
              <w:t xml:space="preserve">- Liczba odbiorców 400 </w:t>
            </w:r>
          </w:p>
          <w:p w:rsidR="0009772E" w:rsidRPr="000B192C" w:rsidRDefault="0009772E" w:rsidP="001B2014">
            <w:pPr>
              <w:snapToGrid w:val="0"/>
              <w:spacing w:line="100" w:lineRule="atLeast"/>
              <w:rPr>
                <w:rFonts w:cs="Times New Roman"/>
              </w:rPr>
            </w:pPr>
            <w:r w:rsidRPr="000B192C">
              <w:rPr>
                <w:rFonts w:cs="Times New Roman"/>
              </w:rPr>
              <w:t>- Liczba odbiorców 30</w:t>
            </w:r>
          </w:p>
          <w:p w:rsidR="0009772E" w:rsidRPr="000B192C" w:rsidRDefault="0009772E" w:rsidP="001B2014">
            <w:pPr>
              <w:snapToGrid w:val="0"/>
              <w:spacing w:line="100" w:lineRule="atLeast"/>
              <w:rPr>
                <w:rFonts w:cs="Times New Roman"/>
              </w:rPr>
            </w:pPr>
            <w:r w:rsidRPr="000B192C">
              <w:rPr>
                <w:rFonts w:cs="Times New Roman"/>
              </w:rPr>
              <w:t>- Liczba odbiorców 200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09772E" w:rsidRPr="000B192C" w:rsidRDefault="0009772E" w:rsidP="001B2014">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09772E" w:rsidRPr="000B192C" w:rsidRDefault="0009772E" w:rsidP="001B2014">
            <w:pPr>
              <w:snapToGrid w:val="0"/>
              <w:spacing w:line="100" w:lineRule="atLeast"/>
              <w:rPr>
                <w:rFonts w:cs="Times New Roman"/>
              </w:rPr>
            </w:pPr>
            <w:r w:rsidRPr="000B192C">
              <w:rPr>
                <w:rFonts w:cs="Times New Roman"/>
              </w:rPr>
              <w:t>- Liczba odbiorców 200</w:t>
            </w:r>
          </w:p>
          <w:p w:rsidR="0009772E" w:rsidRPr="000B192C" w:rsidRDefault="0009772E" w:rsidP="001B2014">
            <w:pPr>
              <w:snapToGrid w:val="0"/>
              <w:spacing w:line="100" w:lineRule="atLeast"/>
              <w:rPr>
                <w:rFonts w:cs="Times New Roman"/>
              </w:rPr>
            </w:pPr>
            <w:r w:rsidRPr="000B192C">
              <w:rPr>
                <w:rFonts w:cs="Times New Roman"/>
              </w:rPr>
              <w:t>- Liczba odbiorców 500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09772E" w:rsidRPr="000B192C" w:rsidRDefault="0009772E" w:rsidP="001B2014">
            <w:pPr>
              <w:snapToGrid w:val="0"/>
              <w:spacing w:line="100" w:lineRule="atLeast"/>
              <w:rPr>
                <w:rFonts w:cs="Times New Roman"/>
              </w:rPr>
            </w:pPr>
            <w:r w:rsidRPr="000B192C">
              <w:rPr>
                <w:rFonts w:cs="Times New Roman"/>
              </w:rPr>
              <w:t>- Liczba odbiorców 900</w:t>
            </w:r>
          </w:p>
          <w:p w:rsidR="0009772E" w:rsidRPr="000B192C" w:rsidRDefault="0009772E" w:rsidP="001B2014">
            <w:pPr>
              <w:snapToGrid w:val="0"/>
              <w:spacing w:line="100" w:lineRule="atLeast"/>
              <w:rPr>
                <w:rFonts w:cs="Times New Roman"/>
              </w:rPr>
            </w:pPr>
          </w:p>
          <w:p w:rsidR="0009772E" w:rsidRPr="000B192C" w:rsidRDefault="0009772E" w:rsidP="001B2014">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09772E" w:rsidRPr="000B192C"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lokalnej prasie</w:t>
            </w:r>
          </w:p>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Ogłoszenia dotyczą zarówno konkursu jak również harmonogramu spotkań szkoleniowych w zakresie przygotowania dokumentacji aplikacyjnej</w:t>
            </w:r>
          </w:p>
        </w:tc>
        <w:tc>
          <w:tcPr>
            <w:tcW w:w="3260" w:type="dxa"/>
            <w:gridSpan w:val="2"/>
            <w:tcBorders>
              <w:bottom w:val="single" w:sz="4" w:space="0" w:color="auto"/>
            </w:tcBorders>
          </w:tcPr>
          <w:p w:rsidR="0009772E" w:rsidRPr="00336C5F" w:rsidRDefault="0009772E" w:rsidP="001B2014">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09772E" w:rsidRPr="00336C5F" w:rsidRDefault="0009772E" w:rsidP="001B2014">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3" w:type="dxa"/>
            <w:tcBorders>
              <w:bottom w:val="single" w:sz="4" w:space="0" w:color="auto"/>
            </w:tcBorders>
          </w:tcPr>
          <w:p w:rsidR="0009772E" w:rsidRPr="00336C5F" w:rsidRDefault="0009772E" w:rsidP="001B2014">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09772E" w:rsidRPr="00336C5F" w:rsidRDefault="0009772E" w:rsidP="001B2014">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09772E" w:rsidRPr="00336C5F"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ogłoszenia w siedzibach JST</w:t>
            </w:r>
          </w:p>
          <w:p w:rsidR="0009772E" w:rsidRPr="00EA44A8" w:rsidRDefault="0009772E" w:rsidP="001B2014">
            <w:pPr>
              <w:rPr>
                <w:rFonts w:cs="Times New Roman"/>
              </w:rPr>
            </w:pPr>
            <w:r w:rsidRPr="00EA44A8">
              <w:rPr>
                <w:rFonts w:cs="Times New Roman"/>
              </w:rPr>
              <w:t xml:space="preserve">- ogłoszenie na stronie </w:t>
            </w:r>
            <w:proofErr w:type="spellStart"/>
            <w:r w:rsidRPr="00EA44A8">
              <w:rPr>
                <w:rFonts w:cs="Times New Roman"/>
              </w:rPr>
              <w:t>www</w:t>
            </w:r>
            <w:proofErr w:type="spellEnd"/>
            <w:r w:rsidRPr="00EA44A8">
              <w:rPr>
                <w:rFonts w:cs="Times New Roman"/>
              </w:rPr>
              <w:t xml:space="preserve"> LGD i JST</w:t>
            </w:r>
          </w:p>
          <w:p w:rsidR="0009772E" w:rsidRPr="00EA44A8" w:rsidRDefault="0009772E" w:rsidP="001B2014">
            <w:pPr>
              <w:rPr>
                <w:rFonts w:cs="Times New Roman"/>
              </w:rPr>
            </w:pPr>
            <w:r w:rsidRPr="00EA44A8">
              <w:rPr>
                <w:rFonts w:cs="Times New Roman"/>
              </w:rPr>
              <w:t>- spotkania szkoleniowe w gminach</w:t>
            </w:r>
          </w:p>
          <w:p w:rsidR="0009772E" w:rsidRPr="00EA44A8" w:rsidRDefault="0009772E" w:rsidP="001B2014">
            <w:pPr>
              <w:rPr>
                <w:rFonts w:cs="Times New Roman"/>
              </w:rPr>
            </w:pPr>
            <w:r w:rsidRPr="00EA44A8">
              <w:rPr>
                <w:rFonts w:cs="Times New Roman"/>
              </w:rPr>
              <w:t>- broszura informacyjna</w:t>
            </w:r>
          </w:p>
          <w:p w:rsidR="0009772E" w:rsidRPr="00EA44A8" w:rsidRDefault="0009772E" w:rsidP="001B2014">
            <w:pPr>
              <w:rPr>
                <w:rFonts w:cs="Times New Roman"/>
              </w:rPr>
            </w:pPr>
            <w:r w:rsidRPr="00EA44A8">
              <w:rPr>
                <w:rFonts w:cs="Times New Roman"/>
              </w:rPr>
              <w:t xml:space="preserve">- zaproszenia na konsultacje dla grup </w:t>
            </w:r>
            <w:proofErr w:type="spellStart"/>
            <w:r w:rsidRPr="00EA44A8">
              <w:rPr>
                <w:rFonts w:cs="Times New Roman"/>
              </w:rPr>
              <w:t>defaworyzowanych</w:t>
            </w:r>
            <w:proofErr w:type="spellEnd"/>
          </w:p>
          <w:p w:rsidR="0009772E" w:rsidRPr="00EA44A8" w:rsidRDefault="0009772E" w:rsidP="001B2014">
            <w:pPr>
              <w:rPr>
                <w:rFonts w:cs="Times New Roman"/>
              </w:rPr>
            </w:pPr>
            <w:r w:rsidRPr="00EA44A8">
              <w:rPr>
                <w:rFonts w:cs="Times New Roman"/>
              </w:rPr>
              <w:t>- prezentacje pracowników Biura LGD</w:t>
            </w:r>
          </w:p>
        </w:tc>
        <w:tc>
          <w:tcPr>
            <w:tcW w:w="3260" w:type="dxa"/>
            <w:gridSpan w:val="2"/>
            <w:tcBorders>
              <w:bottom w:val="single" w:sz="4" w:space="0" w:color="auto"/>
            </w:tcBorders>
          </w:tcPr>
          <w:p w:rsidR="0009772E" w:rsidRPr="007251A3" w:rsidRDefault="0009772E" w:rsidP="001B2014">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09772E" w:rsidRDefault="0009772E" w:rsidP="001B2014">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09772E" w:rsidRPr="007251A3" w:rsidRDefault="0009772E" w:rsidP="001B2014">
            <w:pPr>
              <w:rPr>
                <w:rFonts w:cs="Times New Roman"/>
              </w:rPr>
            </w:pPr>
          </w:p>
          <w:p w:rsidR="0009772E" w:rsidRPr="007251A3" w:rsidRDefault="0009772E" w:rsidP="001B2014">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proofErr w:type="spellStart"/>
            <w:r w:rsidRPr="007251A3">
              <w:rPr>
                <w:rFonts w:cs="Times New Roman"/>
              </w:rPr>
              <w:t>defaworyzowanych</w:t>
            </w:r>
            <w:proofErr w:type="spellEnd"/>
            <w:r w:rsidRPr="007251A3">
              <w:rPr>
                <w:rFonts w:cs="Times New Roman"/>
              </w:rPr>
              <w:t xml:space="preserve"> – </w:t>
            </w:r>
            <w:r w:rsidRPr="007251A3">
              <w:rPr>
                <w:rFonts w:ascii="Calibri" w:eastAsia="Calibri" w:hAnsi="Calibri" w:cs="Times New Roman"/>
              </w:rPr>
              <w:t>110</w:t>
            </w:r>
            <w:r w:rsidRPr="007251A3">
              <w:rPr>
                <w:rFonts w:cs="Times New Roman"/>
              </w:rPr>
              <w:t xml:space="preserve"> </w:t>
            </w:r>
          </w:p>
          <w:p w:rsidR="0009772E" w:rsidRPr="007251A3" w:rsidRDefault="0009772E" w:rsidP="001B2014">
            <w:pPr>
              <w:rPr>
                <w:rFonts w:cs="Times New Roman"/>
              </w:rPr>
            </w:pP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09772E" w:rsidRPr="007251A3" w:rsidRDefault="0009772E" w:rsidP="001B2014">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09772E" w:rsidRDefault="0009772E" w:rsidP="001B2014">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09772E" w:rsidRPr="00C754C7" w:rsidRDefault="0009772E" w:rsidP="001B2014">
            <w:pPr>
              <w:rPr>
                <w:rFonts w:cs="Times New Roman"/>
                <w:strike/>
                <w:color w:val="FF0000"/>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Pr>
                <w:rFonts w:cs="Times New Roman"/>
              </w:rPr>
              <w:lastRenderedPageBreak/>
              <w:t xml:space="preserve">II </w:t>
            </w:r>
            <w:proofErr w:type="spellStart"/>
            <w:r>
              <w:rPr>
                <w:rFonts w:cs="Times New Roman"/>
              </w:rPr>
              <w:t>poł</w:t>
            </w:r>
            <w:proofErr w:type="spellEnd"/>
            <w:r>
              <w:rPr>
                <w:rFonts w:cs="Times New Roman"/>
              </w:rPr>
              <w:t>.</w:t>
            </w:r>
            <w:r w:rsidRPr="00F00FB8">
              <w:rPr>
                <w:rFonts w:cs="Times New Roman"/>
              </w:rPr>
              <w:t xml:space="preserve"> 2017</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na etapie pr</w:t>
            </w:r>
            <w:r>
              <w:rPr>
                <w:rFonts w:cs="Times New Roman"/>
              </w:rPr>
              <w:t>zygotowania wniosków o </w:t>
            </w:r>
            <w:r w:rsidRPr="00F00FB8">
              <w:rPr>
                <w:rFonts w:cs="Times New Roman"/>
              </w:rPr>
              <w:t>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w:t>
            </w:r>
            <w:proofErr w:type="spellStart"/>
            <w:r w:rsidRPr="007251A3">
              <w:rPr>
                <w:rFonts w:ascii="Calibri" w:eastAsia="Calibri" w:hAnsi="Calibri" w:cs="Times New Roman"/>
              </w:rPr>
              <w:t>on-line</w:t>
            </w:r>
            <w:proofErr w:type="spellEnd"/>
            <w:r w:rsidRPr="007251A3">
              <w:rPr>
                <w:rFonts w:ascii="Calibri" w:eastAsia="Calibri" w:hAnsi="Calibri" w:cs="Times New Roman"/>
              </w:rPr>
              <w:t xml:space="preserve"> ze strony internetowej LGD </w:t>
            </w:r>
            <w:r w:rsidRPr="007251A3">
              <w:rPr>
                <w:rFonts w:cs="Times New Roman"/>
              </w:rPr>
              <w:t xml:space="preserve">– </w:t>
            </w:r>
            <w:r w:rsidRPr="007251A3">
              <w:rPr>
                <w:rFonts w:ascii="Calibri" w:eastAsia="Calibri" w:hAnsi="Calibri" w:cs="Times New Roman"/>
              </w:rPr>
              <w:t>60</w:t>
            </w: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1B2014">
            <w:pPr>
              <w:rPr>
                <w:rFonts w:cs="Times New Roman"/>
              </w:rPr>
            </w:pPr>
          </w:p>
        </w:tc>
      </w:tr>
      <w:tr w:rsidR="0009772E" w:rsidRPr="00F00FB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2018</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336C5F" w:rsidRDefault="0009772E" w:rsidP="001B2014">
            <w:pPr>
              <w:rPr>
                <w:rFonts w:cs="Times New Roman"/>
              </w:rPr>
            </w:pPr>
            <w:r w:rsidRPr="00336C5F">
              <w:rPr>
                <w:rFonts w:cs="Times New Roman"/>
              </w:rPr>
              <w:t>- ogłoszenia w siedzibach JST</w:t>
            </w:r>
          </w:p>
          <w:p w:rsidR="0009772E" w:rsidRPr="00336C5F" w:rsidRDefault="0009772E" w:rsidP="001B2014">
            <w:pPr>
              <w:rPr>
                <w:rFonts w:cs="Times New Roman"/>
              </w:rPr>
            </w:pPr>
            <w:r w:rsidRPr="00336C5F">
              <w:rPr>
                <w:rFonts w:cs="Times New Roman"/>
              </w:rPr>
              <w:t xml:space="preserve">- ogłoszenie na stronie </w:t>
            </w:r>
            <w:proofErr w:type="spellStart"/>
            <w:r w:rsidRPr="00336C5F">
              <w:rPr>
                <w:rFonts w:cs="Times New Roman"/>
              </w:rPr>
              <w:t>www</w:t>
            </w:r>
            <w:proofErr w:type="spellEnd"/>
            <w:r w:rsidRPr="00336C5F">
              <w:rPr>
                <w:rFonts w:cs="Times New Roman"/>
              </w:rPr>
              <w:t xml:space="preserve"> LGD i JST</w:t>
            </w:r>
          </w:p>
          <w:p w:rsidR="0009772E" w:rsidRPr="00336C5F" w:rsidRDefault="0009772E" w:rsidP="001B2014">
            <w:pPr>
              <w:rPr>
                <w:rFonts w:cs="Times New Roman"/>
              </w:rPr>
            </w:pPr>
            <w:r w:rsidRPr="00336C5F">
              <w:rPr>
                <w:rFonts w:cs="Times New Roman"/>
              </w:rPr>
              <w:t>- spotkania informacyjne w gminach</w:t>
            </w:r>
          </w:p>
          <w:p w:rsidR="0009772E" w:rsidRPr="00336C5F" w:rsidRDefault="0009772E" w:rsidP="001B2014">
            <w:pPr>
              <w:rPr>
                <w:rFonts w:cs="Times New Roman"/>
              </w:rPr>
            </w:pPr>
            <w:r w:rsidRPr="00336C5F">
              <w:rPr>
                <w:rFonts w:cs="Times New Roman"/>
              </w:rPr>
              <w:t>- broszura informacyjna</w:t>
            </w:r>
          </w:p>
          <w:p w:rsidR="0009772E" w:rsidRPr="00336C5F" w:rsidRDefault="0009772E" w:rsidP="001B2014">
            <w:pPr>
              <w:rPr>
                <w:rFonts w:cs="Times New Roman"/>
              </w:rPr>
            </w:pPr>
            <w:r w:rsidRPr="00336C5F">
              <w:rPr>
                <w:rFonts w:cs="Times New Roman"/>
              </w:rPr>
              <w:t xml:space="preserve">- zaproszenia na konsultacje dla grup </w:t>
            </w:r>
            <w:proofErr w:type="spellStart"/>
            <w:r w:rsidRPr="00336C5F">
              <w:rPr>
                <w:rFonts w:cs="Times New Roman"/>
              </w:rPr>
              <w:t>defaworyzowanych</w:t>
            </w:r>
            <w:proofErr w:type="spellEnd"/>
            <w:r w:rsidRPr="00336C5F">
              <w:rPr>
                <w:rFonts w:cs="Times New Roman"/>
              </w:rPr>
              <w:t xml:space="preserve"> </w:t>
            </w:r>
          </w:p>
        </w:tc>
        <w:tc>
          <w:tcPr>
            <w:tcW w:w="3260" w:type="dxa"/>
            <w:gridSpan w:val="2"/>
          </w:tcPr>
          <w:p w:rsidR="0009772E" w:rsidRPr="00336C5F" w:rsidRDefault="0009772E" w:rsidP="001B2014">
            <w:pPr>
              <w:rPr>
                <w:rFonts w:cs="Times New Roman"/>
              </w:rPr>
            </w:pPr>
            <w:r w:rsidRPr="00336C5F">
              <w:rPr>
                <w:rFonts w:cs="Times New Roman"/>
              </w:rPr>
              <w:t xml:space="preserve">- Liczba spotkań informacyjnych w gminach – 72 </w:t>
            </w:r>
          </w:p>
          <w:p w:rsidR="0009772E" w:rsidRPr="00336C5F" w:rsidRDefault="0009772E" w:rsidP="001B2014">
            <w:pPr>
              <w:rPr>
                <w:rFonts w:cs="Times New Roman"/>
              </w:rPr>
            </w:pPr>
            <w:r w:rsidRPr="00336C5F">
              <w:rPr>
                <w:rFonts w:cs="Times New Roman"/>
              </w:rPr>
              <w:t>- Liczba spotkań informacyjnych dla mieszkańców w Powiatowym Urzędzie Pracy – 12</w:t>
            </w:r>
          </w:p>
          <w:p w:rsidR="0009772E" w:rsidRPr="00336C5F" w:rsidRDefault="0009772E" w:rsidP="001B2014">
            <w:pPr>
              <w:rPr>
                <w:rFonts w:cs="Times New Roman"/>
              </w:rPr>
            </w:pPr>
            <w:r w:rsidRPr="00336C5F">
              <w:rPr>
                <w:rFonts w:cs="Times New Roman"/>
              </w:rPr>
              <w:t xml:space="preserve">- Liczba zaproszeń na konsultacje dla grup </w:t>
            </w:r>
            <w:proofErr w:type="spellStart"/>
            <w:r w:rsidRPr="00336C5F">
              <w:rPr>
                <w:rFonts w:cs="Times New Roman"/>
              </w:rPr>
              <w:t>defaworyzowanych</w:t>
            </w:r>
            <w:proofErr w:type="spellEnd"/>
            <w:r w:rsidRPr="00336C5F">
              <w:rPr>
                <w:rFonts w:cs="Times New Roman"/>
              </w:rPr>
              <w:t xml:space="preserve"> – 110</w:t>
            </w:r>
          </w:p>
          <w:p w:rsidR="0009772E" w:rsidRPr="00336C5F" w:rsidRDefault="0009772E" w:rsidP="001B2014">
            <w:pPr>
              <w:rPr>
                <w:rFonts w:cs="Times New Roman"/>
              </w:rPr>
            </w:pPr>
            <w:r w:rsidRPr="00336C5F">
              <w:rPr>
                <w:rFonts w:cs="Times New Roman"/>
              </w:rPr>
              <w:t>- Liczba wydanych broszur informacyjnych – 100 szt.</w:t>
            </w:r>
          </w:p>
        </w:tc>
        <w:tc>
          <w:tcPr>
            <w:tcW w:w="1843" w:type="dxa"/>
          </w:tcPr>
          <w:p w:rsidR="0009772E" w:rsidRPr="00336C5F" w:rsidRDefault="0009772E" w:rsidP="001B2014">
            <w:pPr>
              <w:spacing w:line="100" w:lineRule="atLeast"/>
              <w:rPr>
                <w:rFonts w:cs="Times New Roman"/>
              </w:rPr>
            </w:pPr>
            <w:r w:rsidRPr="00336C5F">
              <w:rPr>
                <w:rFonts w:cs="Times New Roman"/>
              </w:rPr>
              <w:t>- Liczba odbiorców 120</w:t>
            </w:r>
          </w:p>
          <w:p w:rsidR="0009772E" w:rsidRPr="00336C5F" w:rsidRDefault="0009772E" w:rsidP="001B2014">
            <w:pPr>
              <w:spacing w:line="100" w:lineRule="atLeast"/>
              <w:rPr>
                <w:rFonts w:cs="Times New Roman"/>
              </w:rPr>
            </w:pPr>
            <w:r w:rsidRPr="00336C5F">
              <w:rPr>
                <w:rFonts w:cs="Times New Roman"/>
              </w:rPr>
              <w:t>- Liczba odbiorców 16</w:t>
            </w:r>
          </w:p>
          <w:p w:rsidR="0009772E" w:rsidRPr="00336C5F" w:rsidRDefault="0009772E" w:rsidP="001B2014">
            <w:pPr>
              <w:spacing w:line="100" w:lineRule="atLeast"/>
              <w:rPr>
                <w:rFonts w:cs="Times New Roman"/>
              </w:rPr>
            </w:pPr>
          </w:p>
          <w:p w:rsidR="0009772E" w:rsidRPr="00336C5F" w:rsidRDefault="0009772E" w:rsidP="001B2014">
            <w:pPr>
              <w:spacing w:line="100" w:lineRule="atLeast"/>
              <w:rPr>
                <w:rFonts w:cs="Times New Roman"/>
              </w:rPr>
            </w:pPr>
            <w:r w:rsidRPr="00336C5F">
              <w:rPr>
                <w:rFonts w:cs="Times New Roman"/>
              </w:rPr>
              <w:t>- Liczba odbiorców  110</w:t>
            </w:r>
          </w:p>
          <w:p w:rsidR="0009772E" w:rsidRPr="00336C5F" w:rsidRDefault="0009772E" w:rsidP="001B2014">
            <w:pPr>
              <w:spacing w:line="100" w:lineRule="atLeast"/>
              <w:rPr>
                <w:rFonts w:cs="Times New Roman"/>
              </w:rPr>
            </w:pPr>
          </w:p>
          <w:p w:rsidR="0009772E" w:rsidRPr="00336C5F" w:rsidRDefault="0009772E" w:rsidP="001B2014">
            <w:pPr>
              <w:spacing w:line="100" w:lineRule="atLeast"/>
              <w:rPr>
                <w:rFonts w:cs="Times New Roman"/>
              </w:rPr>
            </w:pPr>
            <w:r>
              <w:rPr>
                <w:rFonts w:cs="Times New Roman"/>
              </w:rPr>
              <w:t>- Liczb</w:t>
            </w:r>
            <w:r w:rsidRPr="00336C5F">
              <w:rPr>
                <w:rFonts w:cs="Times New Roman"/>
              </w:rPr>
              <w:t>a odbiorców 100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6E7324" w:rsidRDefault="0009772E" w:rsidP="001B2014">
            <w:pPr>
              <w:rPr>
                <w:rFonts w:cs="Times New Roman"/>
              </w:rPr>
            </w:pPr>
            <w:r w:rsidRPr="006E7324">
              <w:rPr>
                <w:rFonts w:cs="Times New Roman"/>
              </w:rPr>
              <w:t>- ogłoszenia w lokalnej prasie</w:t>
            </w:r>
          </w:p>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w:t>
            </w:r>
          </w:p>
          <w:p w:rsidR="0009772E" w:rsidRPr="006E7324" w:rsidRDefault="0009772E" w:rsidP="001B2014">
            <w:pPr>
              <w:rPr>
                <w:rFonts w:cs="Times New Roman"/>
              </w:rPr>
            </w:pPr>
            <w:r w:rsidRPr="006E7324">
              <w:rPr>
                <w:rFonts w:cs="Times New Roman"/>
              </w:rPr>
              <w:t>Ogłoszenia dotyczą zarówno konkursu jak również harmonogramu spotkań szkoleniowych w zakresie przygotowania dokumentacji aplikacyjnej</w:t>
            </w:r>
          </w:p>
          <w:p w:rsidR="0009772E" w:rsidRPr="006E7324" w:rsidRDefault="0009772E" w:rsidP="001B2014">
            <w:pPr>
              <w:rPr>
                <w:rFonts w:cs="Times New Roman"/>
              </w:rPr>
            </w:pPr>
            <w:r w:rsidRPr="006E7324">
              <w:rPr>
                <w:rFonts w:cs="Times New Roman"/>
              </w:rPr>
              <w:lastRenderedPageBreak/>
              <w:t>- plakaty ogłoszeniowe</w:t>
            </w:r>
          </w:p>
        </w:tc>
        <w:tc>
          <w:tcPr>
            <w:tcW w:w="3260" w:type="dxa"/>
            <w:gridSpan w:val="2"/>
          </w:tcPr>
          <w:p w:rsidR="0009772E" w:rsidRPr="007251A3" w:rsidRDefault="0009772E" w:rsidP="001B2014">
            <w:pPr>
              <w:rPr>
                <w:rFonts w:cs="Times New Roman"/>
              </w:rPr>
            </w:pPr>
            <w:r w:rsidRPr="007251A3">
              <w:rPr>
                <w:rFonts w:cs="Times New Roman"/>
              </w:rPr>
              <w:lastRenderedPageBreak/>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 100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1B2014">
            <w:pPr>
              <w:spacing w:line="100" w:lineRule="atLeast"/>
              <w:rPr>
                <w:rFonts w:cs="Times New Roman"/>
              </w:rPr>
            </w:pPr>
            <w:r>
              <w:rPr>
                <w:rFonts w:cs="Times New Roman"/>
              </w:rPr>
              <w:t>- Liczba odbiorców 3</w:t>
            </w:r>
            <w:r w:rsidRPr="007251A3">
              <w:rPr>
                <w:rFonts w:cs="Times New Roman"/>
              </w:rPr>
              <w:t>000</w:t>
            </w:r>
          </w:p>
          <w:p w:rsidR="0009772E" w:rsidRPr="007251A3"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 </w:t>
            </w:r>
          </w:p>
          <w:p w:rsidR="0009772E" w:rsidRPr="006E7324" w:rsidRDefault="0009772E" w:rsidP="001B2014">
            <w:pPr>
              <w:rPr>
                <w:rFonts w:cs="Times New Roman"/>
              </w:rPr>
            </w:pPr>
            <w:r w:rsidRPr="006E7324">
              <w:rPr>
                <w:rFonts w:cs="Times New Roman"/>
              </w:rPr>
              <w:t>- spotkania szkoleniowe w gminach</w:t>
            </w:r>
          </w:p>
          <w:p w:rsidR="0009772E" w:rsidRPr="006E7324" w:rsidRDefault="0009772E" w:rsidP="001B2014">
            <w:pPr>
              <w:rPr>
                <w:rFonts w:cs="Times New Roman"/>
              </w:rPr>
            </w:pPr>
            <w:r w:rsidRPr="006E7324">
              <w:rPr>
                <w:rFonts w:cs="Times New Roman"/>
              </w:rPr>
              <w:t>- broszura informacyjna</w:t>
            </w:r>
          </w:p>
          <w:p w:rsidR="0009772E" w:rsidRPr="006E7324" w:rsidRDefault="0009772E" w:rsidP="001B2014">
            <w:pPr>
              <w:rPr>
                <w:rFonts w:cs="Times New Roman"/>
              </w:rPr>
            </w:pPr>
            <w:r w:rsidRPr="006E7324">
              <w:rPr>
                <w:rFonts w:cs="Times New Roman"/>
              </w:rPr>
              <w:t xml:space="preserve">- zaproszenia na konsultacje dla grup </w:t>
            </w:r>
            <w:proofErr w:type="spellStart"/>
            <w:r w:rsidRPr="006E7324">
              <w:rPr>
                <w:rFonts w:cs="Times New Roman"/>
              </w:rPr>
              <w:t>defaworyzowanych</w:t>
            </w:r>
            <w:proofErr w:type="spellEnd"/>
            <w:r w:rsidRPr="006E7324">
              <w:rPr>
                <w:rFonts w:cs="Times New Roman"/>
              </w:rPr>
              <w:t xml:space="preserve"> </w:t>
            </w:r>
          </w:p>
          <w:p w:rsidR="0009772E" w:rsidRPr="006E7324" w:rsidRDefault="0009772E" w:rsidP="001B2014">
            <w:pPr>
              <w:rPr>
                <w:rFonts w:cs="Times New Roman"/>
              </w:rPr>
            </w:pPr>
            <w:r w:rsidRPr="006E7324">
              <w:rPr>
                <w:rFonts w:cs="Times New Roman"/>
              </w:rPr>
              <w:t>- prezentacje pracowników Biura LGD</w:t>
            </w:r>
          </w:p>
          <w:p w:rsidR="0009772E" w:rsidRPr="006E7324" w:rsidRDefault="0009772E" w:rsidP="001B2014">
            <w:pPr>
              <w:rPr>
                <w:rFonts w:cs="Times New Roman"/>
              </w:rPr>
            </w:pPr>
            <w:r w:rsidRPr="006E7324">
              <w:rPr>
                <w:rFonts w:cs="Times New Roman"/>
              </w:rPr>
              <w:t>- plakaty ogłoszeniowe</w:t>
            </w:r>
          </w:p>
        </w:tc>
        <w:tc>
          <w:tcPr>
            <w:tcW w:w="3260" w:type="dxa"/>
            <w:gridSpan w:val="2"/>
          </w:tcPr>
          <w:p w:rsidR="0009772E" w:rsidRPr="007251A3" w:rsidRDefault="0009772E" w:rsidP="001B2014">
            <w:pPr>
              <w:spacing w:line="100" w:lineRule="atLeast"/>
              <w:rPr>
                <w:rFonts w:cs="Times New Roman"/>
              </w:rPr>
            </w:pPr>
            <w:r w:rsidRPr="007251A3">
              <w:rPr>
                <w:rFonts w:cs="Times New Roman"/>
              </w:rPr>
              <w:t xml:space="preserve">- Liczba zorganizowanych spotkań (szkoleń) – 9 </w:t>
            </w:r>
          </w:p>
          <w:p w:rsidR="0009772E" w:rsidRPr="007251A3" w:rsidRDefault="0009772E" w:rsidP="001B2014">
            <w:pPr>
              <w:rPr>
                <w:rFonts w:cs="Times New Roman"/>
              </w:rPr>
            </w:pPr>
            <w:r w:rsidRPr="007251A3">
              <w:rPr>
                <w:rFonts w:cs="Times New Roman"/>
              </w:rPr>
              <w:t xml:space="preserve">- Liczba wydrukowanych plakatów ogłoszeniowych – 200 </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-110</w:t>
            </w:r>
          </w:p>
          <w:p w:rsidR="0009772E" w:rsidRPr="007251A3" w:rsidRDefault="0009772E" w:rsidP="001B2014">
            <w:pPr>
              <w:rPr>
                <w:rFonts w:cs="Times New Roman"/>
              </w:rPr>
            </w:pPr>
            <w:r w:rsidRPr="007251A3">
              <w:rPr>
                <w:rFonts w:cs="Times New Roman"/>
              </w:rPr>
              <w:t xml:space="preserve">- Liczba wydanych broszur informacyjnych – 300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spacing w:line="100" w:lineRule="atLeast"/>
              <w:rPr>
                <w:rFonts w:cs="Times New Roman"/>
              </w:rPr>
            </w:pPr>
            <w:r w:rsidRPr="007251A3">
              <w:rPr>
                <w:rFonts w:cs="Times New Roman"/>
              </w:rPr>
              <w:t>- Liczba odbiorców  110</w:t>
            </w:r>
          </w:p>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300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5" w:type="dxa"/>
            <w:gridSpan w:val="2"/>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6E7324" w:rsidRDefault="0009772E" w:rsidP="001B2014">
            <w:pPr>
              <w:rPr>
                <w:rFonts w:cs="Times New Roman"/>
              </w:rPr>
            </w:pPr>
            <w:r w:rsidRPr="006E7324">
              <w:rPr>
                <w:rFonts w:cs="Times New Roman"/>
              </w:rPr>
              <w:t>- ogłoszenia w lokalnej prasie</w:t>
            </w:r>
          </w:p>
          <w:p w:rsidR="0009772E" w:rsidRPr="006E7324" w:rsidRDefault="0009772E" w:rsidP="001B2014">
            <w:pPr>
              <w:rPr>
                <w:rFonts w:cs="Times New Roman"/>
              </w:rPr>
            </w:pPr>
            <w:r w:rsidRPr="006E7324">
              <w:rPr>
                <w:rFonts w:cs="Times New Roman"/>
              </w:rPr>
              <w:t>- ogłoszenia w siedzibach JST</w:t>
            </w:r>
          </w:p>
          <w:p w:rsidR="0009772E" w:rsidRPr="006E7324" w:rsidRDefault="0009772E" w:rsidP="001B2014">
            <w:pPr>
              <w:rPr>
                <w:rFonts w:cs="Times New Roman"/>
              </w:rPr>
            </w:pPr>
            <w:r w:rsidRPr="006E7324">
              <w:rPr>
                <w:rFonts w:cs="Times New Roman"/>
              </w:rPr>
              <w:t xml:space="preserve">- ogłoszenie na stronie </w:t>
            </w:r>
            <w:proofErr w:type="spellStart"/>
            <w:r w:rsidRPr="006E7324">
              <w:rPr>
                <w:rFonts w:cs="Times New Roman"/>
              </w:rPr>
              <w:t>www</w:t>
            </w:r>
            <w:proofErr w:type="spellEnd"/>
            <w:r w:rsidRPr="006E7324">
              <w:rPr>
                <w:rFonts w:cs="Times New Roman"/>
              </w:rPr>
              <w:t xml:space="preserve"> LGD i JST</w:t>
            </w:r>
          </w:p>
          <w:p w:rsidR="0009772E" w:rsidRPr="006E7324" w:rsidRDefault="0009772E" w:rsidP="001B2014">
            <w:pPr>
              <w:rPr>
                <w:rFonts w:cs="Times New Roman"/>
              </w:rPr>
            </w:pPr>
            <w:r w:rsidRPr="006E7324">
              <w:rPr>
                <w:rFonts w:cs="Times New Roman"/>
              </w:rPr>
              <w:t>- zaproszenia e-mail do organizacji pozarządowych</w:t>
            </w:r>
          </w:p>
          <w:p w:rsidR="0009772E" w:rsidRPr="006E7324" w:rsidRDefault="0009772E" w:rsidP="001B2014">
            <w:pPr>
              <w:rPr>
                <w:rFonts w:cs="Times New Roman"/>
              </w:rPr>
            </w:pPr>
            <w:r w:rsidRPr="006E7324">
              <w:rPr>
                <w:rFonts w:cs="Times New Roman"/>
              </w:rPr>
              <w:t>- wydarzenie / impreza promocyjna</w:t>
            </w:r>
          </w:p>
          <w:p w:rsidR="0009772E" w:rsidRPr="006E7324" w:rsidRDefault="0009772E" w:rsidP="001B2014">
            <w:pPr>
              <w:rPr>
                <w:rFonts w:cs="Times New Roman"/>
              </w:rPr>
            </w:pPr>
            <w:r w:rsidRPr="006E7324">
              <w:rPr>
                <w:rFonts w:cs="Times New Roman"/>
              </w:rPr>
              <w:t>- ulotki i broszury informacyjne</w:t>
            </w:r>
          </w:p>
          <w:p w:rsidR="0009772E" w:rsidRPr="006E7324" w:rsidRDefault="0009772E" w:rsidP="001B2014">
            <w:pPr>
              <w:rPr>
                <w:rFonts w:cs="Times New Roman"/>
              </w:rPr>
            </w:pPr>
            <w:r w:rsidRPr="006E7324">
              <w:rPr>
                <w:rFonts w:cs="Times New Roman"/>
              </w:rPr>
              <w:t>- zaproszenia na konsultacje dla grup de faworyzowanych</w:t>
            </w:r>
          </w:p>
          <w:p w:rsidR="0009772E" w:rsidRPr="006E7324" w:rsidRDefault="0009772E" w:rsidP="001B2014">
            <w:pPr>
              <w:rPr>
                <w:rFonts w:cs="Times New Roman"/>
              </w:rPr>
            </w:pPr>
            <w:r w:rsidRPr="006E7324">
              <w:rPr>
                <w:rFonts w:cs="Times New Roman"/>
              </w:rPr>
              <w:t>- wyjazd studyjny dla mieszkańców</w:t>
            </w:r>
          </w:p>
          <w:p w:rsidR="0009772E" w:rsidRPr="006E7324" w:rsidRDefault="0009772E" w:rsidP="001B2014">
            <w:pPr>
              <w:rPr>
                <w:rFonts w:cs="Times New Roman"/>
              </w:rPr>
            </w:pPr>
            <w:r w:rsidRPr="006E7324">
              <w:rPr>
                <w:rFonts w:cs="Times New Roman"/>
              </w:rPr>
              <w:t>- przedsięwzięcia promocyjne organizowane przez LGD (przygotowanie gadżetów)</w:t>
            </w:r>
          </w:p>
        </w:tc>
        <w:tc>
          <w:tcPr>
            <w:tcW w:w="3260" w:type="dxa"/>
            <w:gridSpan w:val="2"/>
          </w:tcPr>
          <w:p w:rsidR="0009772E" w:rsidRPr="006E7324" w:rsidRDefault="0009772E" w:rsidP="001B2014">
            <w:pPr>
              <w:spacing w:line="100" w:lineRule="atLeast"/>
              <w:rPr>
                <w:rFonts w:cs="Times New Roman"/>
              </w:rPr>
            </w:pPr>
            <w:r w:rsidRPr="006E7324">
              <w:rPr>
                <w:rFonts w:cs="Times New Roman"/>
              </w:rPr>
              <w:t xml:space="preserve">- Liczba ogłoszeń w lokalnej prasie – 2 </w:t>
            </w:r>
          </w:p>
          <w:p w:rsidR="0009772E" w:rsidRPr="006E7324" w:rsidRDefault="0009772E" w:rsidP="001B2014">
            <w:pPr>
              <w:spacing w:line="100" w:lineRule="atLeast"/>
              <w:rPr>
                <w:rFonts w:cs="Times New Roman"/>
              </w:rPr>
            </w:pPr>
            <w:r w:rsidRPr="006E7324">
              <w:rPr>
                <w:rFonts w:cs="Times New Roman"/>
              </w:rPr>
              <w:t xml:space="preserve">- Liczba zaproszeń na konsultacje dla grup </w:t>
            </w:r>
            <w:proofErr w:type="spellStart"/>
            <w:r w:rsidRPr="006E7324">
              <w:rPr>
                <w:rFonts w:cs="Times New Roman"/>
              </w:rPr>
              <w:t>defaworyzowanych</w:t>
            </w:r>
            <w:proofErr w:type="spellEnd"/>
            <w:r w:rsidRPr="006E7324">
              <w:rPr>
                <w:rFonts w:cs="Times New Roman"/>
              </w:rPr>
              <w:t xml:space="preserve"> – 110</w:t>
            </w:r>
          </w:p>
          <w:p w:rsidR="0009772E" w:rsidRPr="006E7324" w:rsidRDefault="0009772E" w:rsidP="001B2014">
            <w:pPr>
              <w:spacing w:line="100" w:lineRule="atLeast"/>
              <w:rPr>
                <w:rFonts w:cs="Times New Roman"/>
              </w:rPr>
            </w:pPr>
            <w:r w:rsidRPr="006E7324">
              <w:rPr>
                <w:rFonts w:cs="Times New Roman"/>
              </w:rPr>
              <w:t xml:space="preserve">- Liczba organizowanych </w:t>
            </w:r>
            <w:proofErr w:type="spellStart"/>
            <w:r w:rsidRPr="006E7324">
              <w:rPr>
                <w:rFonts w:cs="Times New Roman"/>
              </w:rPr>
              <w:t>wyda-rzeń</w:t>
            </w:r>
            <w:proofErr w:type="spellEnd"/>
            <w:r w:rsidRPr="006E7324">
              <w:rPr>
                <w:rFonts w:cs="Times New Roman"/>
              </w:rPr>
              <w:t xml:space="preserve"> i imprez promocyjnych – 1</w:t>
            </w:r>
          </w:p>
          <w:p w:rsidR="0009772E" w:rsidRPr="006E7324" w:rsidRDefault="0009772E" w:rsidP="001B2014">
            <w:pPr>
              <w:spacing w:line="100" w:lineRule="atLeast"/>
              <w:rPr>
                <w:rFonts w:cs="Times New Roman"/>
              </w:rPr>
            </w:pPr>
            <w:r w:rsidRPr="006E7324">
              <w:rPr>
                <w:rFonts w:cs="Times New Roman"/>
              </w:rPr>
              <w:t xml:space="preserve">- Liczba wyjazdów studyjnych dla mieszkańców – 1 </w:t>
            </w:r>
          </w:p>
          <w:p w:rsidR="0009772E" w:rsidRPr="006E7324" w:rsidRDefault="0009772E" w:rsidP="001B2014">
            <w:pPr>
              <w:rPr>
                <w:rFonts w:cs="Times New Roman"/>
              </w:rPr>
            </w:pPr>
            <w:r w:rsidRPr="006E7324">
              <w:rPr>
                <w:rFonts w:cs="Times New Roman"/>
              </w:rPr>
              <w:t>- Liczba wydanych ulotek – 400</w:t>
            </w:r>
          </w:p>
          <w:p w:rsidR="0009772E" w:rsidRPr="006E7324" w:rsidRDefault="0009772E" w:rsidP="001B2014">
            <w:pPr>
              <w:rPr>
                <w:rFonts w:cs="Times New Roman"/>
              </w:rPr>
            </w:pPr>
          </w:p>
          <w:p w:rsidR="0009772E" w:rsidRPr="006E7324" w:rsidRDefault="0009772E" w:rsidP="001B2014">
            <w:pPr>
              <w:rPr>
                <w:rFonts w:cs="Times New Roman"/>
              </w:rPr>
            </w:pPr>
            <w:r w:rsidRPr="006E7324">
              <w:rPr>
                <w:rFonts w:cs="Times New Roman"/>
              </w:rPr>
              <w:t>- Liczba wydanych broszur informacyjnych – 300</w:t>
            </w:r>
          </w:p>
          <w:p w:rsidR="0009772E" w:rsidRPr="006E7324" w:rsidRDefault="0009772E" w:rsidP="001B2014">
            <w:pPr>
              <w:rPr>
                <w:rFonts w:cs="Times New Roman"/>
              </w:rPr>
            </w:pPr>
            <w:r w:rsidRPr="006E7324">
              <w:rPr>
                <w:rFonts w:cs="Times New Roman"/>
              </w:rPr>
              <w:t xml:space="preserve">- Liczba przedsięwzięć promocyjnych organizowanych przez LGD (przygotowanie gadżetów) – 2 </w:t>
            </w:r>
          </w:p>
        </w:tc>
        <w:tc>
          <w:tcPr>
            <w:tcW w:w="1843" w:type="dxa"/>
          </w:tcPr>
          <w:p w:rsidR="0009772E" w:rsidRPr="006E7324" w:rsidRDefault="0009772E" w:rsidP="001B2014">
            <w:pPr>
              <w:spacing w:line="100" w:lineRule="atLeast"/>
              <w:rPr>
                <w:rFonts w:cs="Times New Roman"/>
              </w:rPr>
            </w:pPr>
            <w:r w:rsidRPr="006E7324">
              <w:rPr>
                <w:rFonts w:cs="Times New Roman"/>
              </w:rPr>
              <w:t>- Liczba odbiorców 8000</w:t>
            </w:r>
          </w:p>
          <w:p w:rsidR="0009772E" w:rsidRPr="006E7324" w:rsidRDefault="0009772E" w:rsidP="001B2014">
            <w:pPr>
              <w:spacing w:line="100" w:lineRule="atLeast"/>
              <w:rPr>
                <w:rFonts w:cs="Times New Roman"/>
              </w:rPr>
            </w:pPr>
            <w:r w:rsidRPr="006E7324">
              <w:rPr>
                <w:rFonts w:cs="Times New Roman"/>
              </w:rPr>
              <w:t>- Liczba odbiorców  110</w:t>
            </w:r>
          </w:p>
          <w:p w:rsidR="0009772E" w:rsidRPr="006E7324" w:rsidRDefault="0009772E" w:rsidP="001B2014">
            <w:pPr>
              <w:snapToGrid w:val="0"/>
              <w:spacing w:line="100" w:lineRule="atLeast"/>
              <w:rPr>
                <w:rFonts w:cs="Times New Roman"/>
              </w:rPr>
            </w:pPr>
          </w:p>
          <w:p w:rsidR="0009772E" w:rsidRPr="006E7324" w:rsidRDefault="0009772E" w:rsidP="001B2014">
            <w:pPr>
              <w:snapToGrid w:val="0"/>
              <w:spacing w:line="100" w:lineRule="atLeast"/>
              <w:rPr>
                <w:rFonts w:ascii="Calibri" w:eastAsia="DejaVuSans" w:hAnsi="Calibri" w:cs="Calibri"/>
              </w:rPr>
            </w:pPr>
            <w:r w:rsidRPr="006E7324">
              <w:rPr>
                <w:rFonts w:cs="Times New Roman"/>
              </w:rPr>
              <w:t xml:space="preserve">- Liczba odbiorców 400 </w:t>
            </w:r>
          </w:p>
          <w:p w:rsidR="0009772E" w:rsidRPr="006E7324" w:rsidRDefault="0009772E" w:rsidP="001B2014">
            <w:pPr>
              <w:snapToGrid w:val="0"/>
              <w:spacing w:line="100" w:lineRule="atLeast"/>
              <w:rPr>
                <w:rFonts w:cs="Times New Roman"/>
              </w:rPr>
            </w:pPr>
            <w:r w:rsidRPr="006E7324">
              <w:rPr>
                <w:rFonts w:cs="Times New Roman"/>
              </w:rPr>
              <w:t>- Liczba odbiorców 30</w:t>
            </w:r>
          </w:p>
          <w:p w:rsidR="0009772E" w:rsidRPr="006E7324" w:rsidRDefault="0009772E" w:rsidP="001B2014">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09772E" w:rsidRPr="006E7324" w:rsidRDefault="0009772E" w:rsidP="001B2014">
            <w:pPr>
              <w:snapToGrid w:val="0"/>
              <w:spacing w:line="100" w:lineRule="atLeast"/>
              <w:rPr>
                <w:rFonts w:cs="Times New Roman"/>
              </w:rPr>
            </w:pPr>
            <w:r w:rsidRPr="006E7324">
              <w:rPr>
                <w:rFonts w:cs="Times New Roman"/>
              </w:rPr>
              <w:t>- Liczba odbiorców 300</w:t>
            </w:r>
          </w:p>
          <w:p w:rsidR="0009772E" w:rsidRPr="006E7324" w:rsidRDefault="0009772E" w:rsidP="001B2014">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5" w:type="dxa"/>
            <w:gridSpan w:val="2"/>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Pr>
          <w:p w:rsidR="0009772E" w:rsidRPr="00E65071" w:rsidRDefault="0009772E" w:rsidP="001B2014">
            <w:pPr>
              <w:rPr>
                <w:rFonts w:cs="Times New Roman"/>
              </w:rPr>
            </w:pPr>
            <w:r w:rsidRPr="00E65071">
              <w:rPr>
                <w:rFonts w:cs="Times New Roman"/>
              </w:rPr>
              <w:t>- ogłoszenia w lokalnej prasie</w:t>
            </w:r>
          </w:p>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w:t>
            </w:r>
          </w:p>
          <w:p w:rsidR="0009772E" w:rsidRPr="00E65071" w:rsidRDefault="0009772E" w:rsidP="001B2014">
            <w:pPr>
              <w:rPr>
                <w:rFonts w:cs="Times New Roman"/>
              </w:rPr>
            </w:pPr>
            <w:r w:rsidRPr="00E65071">
              <w:rPr>
                <w:rFonts w:cs="Times New Roman"/>
              </w:rPr>
              <w:t>- zaproszenia e-mail do organizacji pozarządowych</w:t>
            </w:r>
          </w:p>
          <w:p w:rsidR="0009772E" w:rsidRPr="00E65071" w:rsidRDefault="0009772E" w:rsidP="001B2014">
            <w:pPr>
              <w:rPr>
                <w:rFonts w:cs="Times New Roman"/>
              </w:rPr>
            </w:pPr>
            <w:r w:rsidRPr="00E65071">
              <w:rPr>
                <w:rFonts w:cs="Times New Roman"/>
              </w:rPr>
              <w:t>- wydarzenie / impreza promocyjna</w:t>
            </w:r>
          </w:p>
          <w:p w:rsidR="0009772E" w:rsidRPr="00E65071" w:rsidRDefault="0009772E" w:rsidP="001B2014">
            <w:pPr>
              <w:rPr>
                <w:rFonts w:cs="Times New Roman"/>
              </w:rPr>
            </w:pPr>
            <w:r w:rsidRPr="00E65071">
              <w:rPr>
                <w:rFonts w:cs="Times New Roman"/>
              </w:rPr>
              <w:t>- ulotki i broszury informacyjne</w:t>
            </w:r>
          </w:p>
          <w:p w:rsidR="0009772E" w:rsidRPr="00E65071" w:rsidRDefault="0009772E" w:rsidP="001B2014">
            <w:pPr>
              <w:rPr>
                <w:rFonts w:cs="Times New Roman"/>
              </w:rPr>
            </w:pPr>
            <w:r w:rsidRPr="00E65071">
              <w:rPr>
                <w:rFonts w:cs="Times New Roman"/>
              </w:rPr>
              <w:t xml:space="preserve">- zaproszenia na konsultacje dla grup </w:t>
            </w:r>
            <w:proofErr w:type="spellStart"/>
            <w:r w:rsidRPr="00E65071">
              <w:rPr>
                <w:rFonts w:cs="Times New Roman"/>
              </w:rPr>
              <w:t>defaworyzowanych</w:t>
            </w:r>
            <w:proofErr w:type="spellEnd"/>
          </w:p>
          <w:p w:rsidR="0009772E" w:rsidRPr="00E65071" w:rsidRDefault="0009772E" w:rsidP="001B2014">
            <w:pPr>
              <w:rPr>
                <w:rFonts w:cs="Times New Roman"/>
              </w:rPr>
            </w:pPr>
            <w:r w:rsidRPr="00E65071">
              <w:rPr>
                <w:rFonts w:cs="Times New Roman"/>
              </w:rPr>
              <w:t>- wydawnictwa i publikacje sfinansowane przez LGD</w:t>
            </w:r>
          </w:p>
          <w:p w:rsidR="0009772E" w:rsidRPr="00E65071" w:rsidRDefault="0009772E" w:rsidP="001B2014">
            <w:pPr>
              <w:rPr>
                <w:rFonts w:cs="Times New Roman"/>
              </w:rPr>
            </w:pPr>
            <w:r w:rsidRPr="00E65071">
              <w:rPr>
                <w:rFonts w:cs="Times New Roman"/>
              </w:rPr>
              <w:t>- przedsięwzięcia promocyjne organizowane przez LGD (przygotowanie gadżetów)</w:t>
            </w:r>
          </w:p>
        </w:tc>
        <w:tc>
          <w:tcPr>
            <w:tcW w:w="3260" w:type="dxa"/>
            <w:gridSpan w:val="2"/>
          </w:tcPr>
          <w:p w:rsidR="0009772E" w:rsidRPr="00E65071" w:rsidRDefault="0009772E" w:rsidP="001B2014">
            <w:pPr>
              <w:rPr>
                <w:rFonts w:cs="Times New Roman"/>
              </w:rPr>
            </w:pPr>
            <w:r w:rsidRPr="00E65071">
              <w:rPr>
                <w:rFonts w:cs="Times New Roman"/>
              </w:rPr>
              <w:t>- Liczba ogłoszeń w lokalnej prasie – 2</w:t>
            </w:r>
          </w:p>
          <w:p w:rsidR="0009772E" w:rsidRPr="00E65071" w:rsidRDefault="0009772E" w:rsidP="001B2014">
            <w:pPr>
              <w:rPr>
                <w:rFonts w:cs="Times New Roman"/>
              </w:rPr>
            </w:pPr>
            <w:r w:rsidRPr="00E65071">
              <w:rPr>
                <w:rFonts w:cs="Times New Roman"/>
              </w:rPr>
              <w:t xml:space="preserve">- Liczba organizowanych </w:t>
            </w:r>
            <w:proofErr w:type="spellStart"/>
            <w:r w:rsidRPr="00E65071">
              <w:rPr>
                <w:rFonts w:cs="Times New Roman"/>
              </w:rPr>
              <w:t>wyda-rzeń</w:t>
            </w:r>
            <w:proofErr w:type="spellEnd"/>
            <w:r w:rsidRPr="00E65071">
              <w:rPr>
                <w:rFonts w:cs="Times New Roman"/>
              </w:rPr>
              <w:t xml:space="preserve"> i imprez promocyjnych – 1</w:t>
            </w:r>
          </w:p>
          <w:p w:rsidR="0009772E" w:rsidRPr="00E65071" w:rsidRDefault="0009772E" w:rsidP="001B2014">
            <w:pPr>
              <w:rPr>
                <w:rFonts w:cs="Times New Roman"/>
              </w:rPr>
            </w:pPr>
            <w:r w:rsidRPr="00E65071">
              <w:rPr>
                <w:rFonts w:cs="Times New Roman"/>
              </w:rPr>
              <w:t xml:space="preserve">- Liczba imprez targowych lub innych imprez krajowych, w których uczestniczy LGD – 1 </w:t>
            </w:r>
          </w:p>
          <w:p w:rsidR="0009772E" w:rsidRPr="00E65071" w:rsidRDefault="0009772E" w:rsidP="001B2014">
            <w:pPr>
              <w:snapToGrid w:val="0"/>
              <w:spacing w:line="100" w:lineRule="atLeast"/>
              <w:rPr>
                <w:rFonts w:cs="Times New Roman"/>
              </w:rPr>
            </w:pPr>
            <w:r w:rsidRPr="00E65071">
              <w:rPr>
                <w:rFonts w:cs="Times New Roman"/>
              </w:rPr>
              <w:t>- liczba wydanych ulotek – 400</w:t>
            </w:r>
          </w:p>
          <w:p w:rsidR="0009772E" w:rsidRPr="00E65071" w:rsidRDefault="0009772E" w:rsidP="001B2014">
            <w:pPr>
              <w:snapToGrid w:val="0"/>
              <w:spacing w:line="100" w:lineRule="atLeast"/>
              <w:rPr>
                <w:rFonts w:cs="Times New Roman"/>
              </w:rPr>
            </w:pPr>
          </w:p>
          <w:p w:rsidR="0009772E" w:rsidRPr="00E65071" w:rsidRDefault="0009772E" w:rsidP="001B2014">
            <w:pPr>
              <w:snapToGrid w:val="0"/>
              <w:spacing w:line="100" w:lineRule="atLeast"/>
              <w:rPr>
                <w:rFonts w:cs="Times New Roman"/>
              </w:rPr>
            </w:pPr>
            <w:r w:rsidRPr="00E65071">
              <w:rPr>
                <w:rFonts w:cs="Times New Roman"/>
              </w:rPr>
              <w:t>- Liczba wydanych broszur informacyjnych – 200</w:t>
            </w:r>
          </w:p>
          <w:p w:rsidR="0009772E" w:rsidRPr="00E65071" w:rsidRDefault="0009772E" w:rsidP="001B2014">
            <w:pPr>
              <w:snapToGrid w:val="0"/>
              <w:spacing w:line="100" w:lineRule="atLeast"/>
              <w:rPr>
                <w:rFonts w:cs="Times New Roman"/>
              </w:rPr>
            </w:pPr>
            <w:r w:rsidRPr="00E65071">
              <w:rPr>
                <w:rFonts w:cs="Times New Roman"/>
              </w:rPr>
              <w:t xml:space="preserve">- Liczba wydawnictw i publikacji sfinansowanych przez LGD – 2 </w:t>
            </w:r>
          </w:p>
          <w:p w:rsidR="0009772E" w:rsidRPr="00E65071" w:rsidRDefault="0009772E" w:rsidP="001B2014">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09772E" w:rsidRPr="00E65071" w:rsidRDefault="0009772E" w:rsidP="001B2014">
            <w:pPr>
              <w:snapToGrid w:val="0"/>
              <w:spacing w:line="100" w:lineRule="atLeast"/>
              <w:rPr>
                <w:rFonts w:cs="Times New Roman"/>
              </w:rPr>
            </w:pPr>
            <w:r w:rsidRPr="00E65071">
              <w:rPr>
                <w:rFonts w:cs="Times New Roman"/>
              </w:rPr>
              <w:t xml:space="preserve">- Liczba imprez na terenie obszaru działania, w których uczestniczy LGD – 6 </w:t>
            </w:r>
          </w:p>
          <w:p w:rsidR="0009772E" w:rsidRPr="00E65071" w:rsidRDefault="0009772E" w:rsidP="001B2014">
            <w:pPr>
              <w:snapToGrid w:val="0"/>
              <w:spacing w:line="100" w:lineRule="atLeast"/>
              <w:rPr>
                <w:rFonts w:cs="Times New Roman"/>
              </w:rPr>
            </w:pPr>
            <w:r w:rsidRPr="00E65071">
              <w:rPr>
                <w:rFonts w:cs="Times New Roman"/>
              </w:rPr>
              <w:t xml:space="preserve">- Liczba zaproszeń na konsultacje dla grup </w:t>
            </w:r>
            <w:proofErr w:type="spellStart"/>
            <w:r w:rsidRPr="00E65071">
              <w:rPr>
                <w:rFonts w:cs="Times New Roman"/>
              </w:rPr>
              <w:t>defaworyzowanych</w:t>
            </w:r>
            <w:proofErr w:type="spellEnd"/>
            <w:r w:rsidRPr="00E65071">
              <w:rPr>
                <w:rFonts w:cs="Times New Roman"/>
              </w:rPr>
              <w:t xml:space="preserve"> – 110</w:t>
            </w:r>
          </w:p>
        </w:tc>
        <w:tc>
          <w:tcPr>
            <w:tcW w:w="1843" w:type="dxa"/>
          </w:tcPr>
          <w:p w:rsidR="0009772E" w:rsidRPr="00E65071" w:rsidRDefault="0009772E" w:rsidP="001B2014">
            <w:pPr>
              <w:spacing w:line="100" w:lineRule="atLeast"/>
              <w:rPr>
                <w:rFonts w:cs="Times New Roman"/>
              </w:rPr>
            </w:pPr>
            <w:r>
              <w:rPr>
                <w:rFonts w:cs="Times New Roman"/>
              </w:rPr>
              <w:t>- Liczb</w:t>
            </w:r>
            <w:r w:rsidRPr="00E65071">
              <w:rPr>
                <w:rFonts w:cs="Times New Roman"/>
              </w:rPr>
              <w:t>a odbiorców 8000</w:t>
            </w:r>
          </w:p>
          <w:p w:rsidR="0009772E" w:rsidRPr="00E65071" w:rsidRDefault="0009772E" w:rsidP="001B2014">
            <w:pPr>
              <w:snapToGrid w:val="0"/>
              <w:spacing w:line="100" w:lineRule="atLeast"/>
              <w:rPr>
                <w:rFonts w:ascii="Calibri" w:eastAsia="DejaVuSans" w:hAnsi="Calibri" w:cs="Calibri"/>
              </w:rPr>
            </w:pPr>
            <w:r w:rsidRPr="00E65071">
              <w:rPr>
                <w:rFonts w:cs="Times New Roman"/>
              </w:rPr>
              <w:t xml:space="preserve">- Liczba odbiorców 400 </w:t>
            </w:r>
          </w:p>
          <w:p w:rsidR="0009772E" w:rsidRPr="00E65071" w:rsidRDefault="0009772E" w:rsidP="001B2014">
            <w:pPr>
              <w:snapToGrid w:val="0"/>
              <w:spacing w:line="100" w:lineRule="atLeast"/>
              <w:rPr>
                <w:rFonts w:cs="Times New Roman"/>
              </w:rPr>
            </w:pPr>
            <w:r w:rsidRPr="00E65071">
              <w:rPr>
                <w:rFonts w:cs="Times New Roman"/>
              </w:rPr>
              <w:t>- Liczba odbiorców 200</w:t>
            </w:r>
          </w:p>
          <w:p w:rsidR="0009772E" w:rsidRPr="00E65071" w:rsidRDefault="0009772E" w:rsidP="001B2014">
            <w:pPr>
              <w:snapToGrid w:val="0"/>
              <w:spacing w:line="100" w:lineRule="atLeast"/>
              <w:rPr>
                <w:rFonts w:cs="Times New Roman"/>
              </w:rPr>
            </w:pPr>
          </w:p>
          <w:p w:rsidR="0009772E" w:rsidRPr="00E65071" w:rsidRDefault="0009772E" w:rsidP="001B2014">
            <w:pPr>
              <w:snapToGrid w:val="0"/>
              <w:spacing w:line="100" w:lineRule="atLeast"/>
              <w:rPr>
                <w:rFonts w:ascii="Times New Roman" w:eastAsia="DejaVuSans" w:hAnsi="Times New Roman" w:cs="Times New Roman"/>
                <w:sz w:val="24"/>
                <w:szCs w:val="24"/>
              </w:rPr>
            </w:pPr>
            <w:r w:rsidRPr="00E65071">
              <w:rPr>
                <w:rFonts w:cs="Times New Roman"/>
              </w:rPr>
              <w:t>- Liczba odbiorców 400</w:t>
            </w:r>
          </w:p>
          <w:p w:rsidR="0009772E" w:rsidRPr="00E65071" w:rsidRDefault="0009772E" w:rsidP="001B2014">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09772E" w:rsidRPr="00E65071" w:rsidRDefault="0009772E" w:rsidP="001B2014">
            <w:pPr>
              <w:spacing w:line="100" w:lineRule="atLeast"/>
              <w:rPr>
                <w:rFonts w:cs="Times New Roman"/>
              </w:rPr>
            </w:pPr>
            <w:r w:rsidRPr="00E65071">
              <w:rPr>
                <w:rFonts w:cs="Times New Roman"/>
              </w:rPr>
              <w:t>- Liczba odbiorców 400</w:t>
            </w:r>
          </w:p>
          <w:p w:rsidR="0009772E" w:rsidRPr="00E65071" w:rsidRDefault="0009772E" w:rsidP="001B2014">
            <w:pPr>
              <w:spacing w:line="100" w:lineRule="atLeast"/>
              <w:rPr>
                <w:rFonts w:cs="Times New Roman"/>
              </w:rPr>
            </w:pPr>
            <w:r w:rsidRPr="00E65071">
              <w:rPr>
                <w:rFonts w:cs="Times New Roman"/>
              </w:rPr>
              <w:t>- Liczba odbiorców 500</w:t>
            </w: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r w:rsidRPr="00E65071">
              <w:rPr>
                <w:rFonts w:cs="Times New Roman"/>
              </w:rPr>
              <w:t>- Liczba odbiorców 900</w:t>
            </w:r>
          </w:p>
          <w:p w:rsidR="0009772E" w:rsidRPr="00E65071" w:rsidRDefault="0009772E" w:rsidP="001B2014">
            <w:pPr>
              <w:spacing w:line="100" w:lineRule="atLeast"/>
              <w:rPr>
                <w:rFonts w:cs="Times New Roman"/>
              </w:rPr>
            </w:pPr>
          </w:p>
          <w:p w:rsidR="0009772E" w:rsidRPr="00E65071" w:rsidRDefault="0009772E" w:rsidP="001B2014">
            <w:pPr>
              <w:spacing w:line="100" w:lineRule="atLeast"/>
              <w:rPr>
                <w:rFonts w:cs="Times New Roman"/>
              </w:rPr>
            </w:pPr>
            <w:r w:rsidRPr="00E65071">
              <w:rPr>
                <w:rFonts w:cs="Times New Roman"/>
              </w:rPr>
              <w:t>- Liczba odbiorców  110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65071" w:rsidRDefault="0009772E" w:rsidP="001B2014">
            <w:pPr>
              <w:rPr>
                <w:rFonts w:cs="Times New Roman"/>
              </w:rPr>
            </w:pPr>
            <w:r w:rsidRPr="00E65071">
              <w:rPr>
                <w:rFonts w:cs="Times New Roman"/>
              </w:rPr>
              <w:t>- ogłoszenia w lokalnej prasie</w:t>
            </w:r>
          </w:p>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 </w:t>
            </w:r>
          </w:p>
          <w:p w:rsidR="0009772E" w:rsidRPr="00E65071" w:rsidRDefault="0009772E" w:rsidP="001B2014">
            <w:pPr>
              <w:rPr>
                <w:rFonts w:cs="Times New Roman"/>
              </w:rPr>
            </w:pPr>
            <w:r w:rsidRPr="00E65071">
              <w:rPr>
                <w:rFonts w:cs="Times New Roman"/>
              </w:rPr>
              <w:t>Ogłoszenia dotyczą zarówno konkursu jak również harmonogramu spotkań szkoleniowych w zakresie przygotowania dokumentacji aplikacyjnej</w:t>
            </w:r>
          </w:p>
          <w:p w:rsidR="0009772E" w:rsidRPr="00E65071" w:rsidRDefault="0009772E" w:rsidP="001B2014">
            <w:pPr>
              <w:rPr>
                <w:rFonts w:cs="Times New Roman"/>
              </w:rPr>
            </w:pPr>
            <w:r w:rsidRPr="00E65071">
              <w:rPr>
                <w:rFonts w:cs="Times New Roman"/>
              </w:rPr>
              <w:lastRenderedPageBreak/>
              <w:t>- plakaty ogłoszeniowe</w:t>
            </w:r>
          </w:p>
        </w:tc>
        <w:tc>
          <w:tcPr>
            <w:tcW w:w="3260" w:type="dxa"/>
            <w:gridSpan w:val="2"/>
          </w:tcPr>
          <w:p w:rsidR="0009772E" w:rsidRPr="007251A3" w:rsidRDefault="0009772E" w:rsidP="001B2014">
            <w:pPr>
              <w:rPr>
                <w:rFonts w:cs="Times New Roman"/>
              </w:rPr>
            </w:pPr>
            <w:r w:rsidRPr="007251A3">
              <w:rPr>
                <w:rFonts w:cs="Times New Roman"/>
              </w:rPr>
              <w:lastRenderedPageBreak/>
              <w:t>- Liczba ogłoszeń w lokalnej prasie – 2</w:t>
            </w:r>
          </w:p>
          <w:p w:rsidR="0009772E" w:rsidRPr="007251A3" w:rsidRDefault="0009772E" w:rsidP="001B2014">
            <w:pPr>
              <w:rPr>
                <w:rFonts w:cs="Times New Roman"/>
              </w:rPr>
            </w:pPr>
            <w:r w:rsidRPr="007251A3">
              <w:rPr>
                <w:rFonts w:cs="Times New Roman"/>
              </w:rPr>
              <w:t xml:space="preserve">- Liczba wydrukowanych plakatów ogłoszeniowych – 200 </w:t>
            </w:r>
          </w:p>
          <w:p w:rsidR="0009772E" w:rsidRPr="007251A3" w:rsidRDefault="0009772E" w:rsidP="001B2014">
            <w:pPr>
              <w:rPr>
                <w:rFonts w:cs="Times New Roman"/>
              </w:rPr>
            </w:pPr>
          </w:p>
          <w:p w:rsidR="0009772E" w:rsidRPr="007251A3" w:rsidRDefault="0009772E" w:rsidP="001B2014">
            <w:pPr>
              <w:rPr>
                <w:rFonts w:cs="Times New Roman"/>
              </w:rPr>
            </w:pP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8000</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2018</w:t>
            </w:r>
          </w:p>
        </w:tc>
        <w:tc>
          <w:tcPr>
            <w:tcW w:w="2551" w:type="dxa"/>
          </w:tcPr>
          <w:p w:rsidR="0009772E" w:rsidRPr="00F00FB8" w:rsidRDefault="0009772E" w:rsidP="001B2014">
            <w:pPr>
              <w:rPr>
                <w:rFonts w:cs="Times New Roman"/>
              </w:rPr>
            </w:pPr>
            <w:r w:rsidRPr="00F00FB8">
              <w:rPr>
                <w:rFonts w:cs="Times New Roman"/>
              </w:rPr>
              <w:t>Zapewnienie informacji dla pot</w:t>
            </w:r>
            <w:r>
              <w:rPr>
                <w:rFonts w:cs="Times New Roman"/>
              </w:rPr>
              <w: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E65071" w:rsidRDefault="0009772E" w:rsidP="001B2014">
            <w:pPr>
              <w:rPr>
                <w:rFonts w:cs="Times New Roman"/>
              </w:rPr>
            </w:pPr>
            <w:r w:rsidRPr="00E65071">
              <w:rPr>
                <w:rFonts w:cs="Times New Roman"/>
              </w:rPr>
              <w:t>- ogłoszenia w siedzibach JST</w:t>
            </w:r>
          </w:p>
          <w:p w:rsidR="0009772E" w:rsidRPr="00E65071" w:rsidRDefault="0009772E" w:rsidP="001B2014">
            <w:pPr>
              <w:rPr>
                <w:rFonts w:cs="Times New Roman"/>
              </w:rPr>
            </w:pPr>
            <w:r w:rsidRPr="00E65071">
              <w:rPr>
                <w:rFonts w:cs="Times New Roman"/>
              </w:rPr>
              <w:t xml:space="preserve">- ogłoszenie na stronie </w:t>
            </w:r>
            <w:proofErr w:type="spellStart"/>
            <w:r w:rsidRPr="00E65071">
              <w:rPr>
                <w:rFonts w:cs="Times New Roman"/>
              </w:rPr>
              <w:t>www</w:t>
            </w:r>
            <w:proofErr w:type="spellEnd"/>
            <w:r w:rsidRPr="00E65071">
              <w:rPr>
                <w:rFonts w:cs="Times New Roman"/>
              </w:rPr>
              <w:t xml:space="preserve"> LGD i JST </w:t>
            </w:r>
          </w:p>
          <w:p w:rsidR="0009772E" w:rsidRPr="00E65071" w:rsidRDefault="0009772E" w:rsidP="001B2014">
            <w:pPr>
              <w:rPr>
                <w:rFonts w:cs="Times New Roman"/>
              </w:rPr>
            </w:pPr>
            <w:r w:rsidRPr="00E65071">
              <w:rPr>
                <w:rFonts w:cs="Times New Roman"/>
              </w:rPr>
              <w:t>- spotkania szkoleniowe w gminach</w:t>
            </w:r>
          </w:p>
          <w:p w:rsidR="0009772E" w:rsidRPr="00E65071" w:rsidRDefault="0009772E" w:rsidP="001B2014">
            <w:pPr>
              <w:rPr>
                <w:rFonts w:cs="Times New Roman"/>
              </w:rPr>
            </w:pPr>
            <w:r w:rsidRPr="00E65071">
              <w:rPr>
                <w:rFonts w:cs="Times New Roman"/>
              </w:rPr>
              <w:t>- plakaty ogłoszeniowe</w:t>
            </w:r>
          </w:p>
          <w:p w:rsidR="0009772E" w:rsidRPr="00E65071" w:rsidRDefault="0009772E" w:rsidP="001B2014">
            <w:pPr>
              <w:rPr>
                <w:rFonts w:cs="Times New Roman"/>
              </w:rPr>
            </w:pPr>
            <w:r w:rsidRPr="00E65071">
              <w:rPr>
                <w:rFonts w:cs="Times New Roman"/>
              </w:rPr>
              <w:t>- broszura informacyjna</w:t>
            </w:r>
          </w:p>
          <w:p w:rsidR="0009772E" w:rsidRPr="00E65071" w:rsidRDefault="0009772E" w:rsidP="001B2014">
            <w:pPr>
              <w:rPr>
                <w:rFonts w:cs="Times New Roman"/>
              </w:rPr>
            </w:pPr>
            <w:r w:rsidRPr="00E65071">
              <w:rPr>
                <w:rFonts w:cs="Times New Roman"/>
              </w:rPr>
              <w:t xml:space="preserve">- zaproszenia na konsultacje dla grup </w:t>
            </w:r>
            <w:proofErr w:type="spellStart"/>
            <w:r w:rsidRPr="00E65071">
              <w:rPr>
                <w:rFonts w:cs="Times New Roman"/>
              </w:rPr>
              <w:t>defaworyzowanych</w:t>
            </w:r>
            <w:proofErr w:type="spellEnd"/>
          </w:p>
          <w:p w:rsidR="0009772E" w:rsidRPr="00E65071" w:rsidRDefault="0009772E" w:rsidP="001B2014">
            <w:pPr>
              <w:rPr>
                <w:rFonts w:cs="Times New Roman"/>
              </w:rPr>
            </w:pPr>
            <w:r w:rsidRPr="00E65071">
              <w:rPr>
                <w:rFonts w:cs="Times New Roman"/>
              </w:rPr>
              <w:t>- prezentacje pracowników Biura LGD</w:t>
            </w:r>
          </w:p>
        </w:tc>
        <w:tc>
          <w:tcPr>
            <w:tcW w:w="3260" w:type="dxa"/>
            <w:gridSpan w:val="2"/>
          </w:tcPr>
          <w:p w:rsidR="0009772E" w:rsidRPr="007251A3" w:rsidRDefault="0009772E" w:rsidP="001B2014">
            <w:pPr>
              <w:spacing w:line="100" w:lineRule="atLeast"/>
              <w:rPr>
                <w:rFonts w:cs="Times New Roman"/>
              </w:rPr>
            </w:pPr>
            <w:r w:rsidRPr="007251A3">
              <w:rPr>
                <w:rFonts w:cs="Times New Roman"/>
              </w:rPr>
              <w:t xml:space="preserve">- Liczba zorganizowanych spotkań (szkoleń) – 9 </w:t>
            </w:r>
          </w:p>
          <w:p w:rsidR="0009772E" w:rsidRPr="007251A3" w:rsidRDefault="0009772E" w:rsidP="001B2014">
            <w:pPr>
              <w:rPr>
                <w:rFonts w:cs="Times New Roman"/>
              </w:rPr>
            </w:pPr>
            <w:r w:rsidRPr="007251A3">
              <w:rPr>
                <w:rFonts w:cs="Times New Roman"/>
              </w:rPr>
              <w:t>- Liczba wydrukowanych plakatów ogłoszeniowych – 200</w:t>
            </w:r>
          </w:p>
          <w:p w:rsidR="0009772E" w:rsidRPr="007251A3" w:rsidRDefault="0009772E" w:rsidP="001B2014">
            <w:pPr>
              <w:spacing w:line="100" w:lineRule="atLeast"/>
              <w:rPr>
                <w:rFonts w:cs="Times New Roman"/>
              </w:rPr>
            </w:pPr>
            <w:r w:rsidRPr="007251A3">
              <w:rPr>
                <w:rFonts w:cs="Times New Roman"/>
              </w:rPr>
              <w:t xml:space="preserve">- Liczba zaproszeń na konsultacje dla grup </w:t>
            </w:r>
            <w:proofErr w:type="spellStart"/>
            <w:r w:rsidRPr="007251A3">
              <w:rPr>
                <w:rFonts w:cs="Times New Roman"/>
              </w:rPr>
              <w:t>defaworyzowanych</w:t>
            </w:r>
            <w:proofErr w:type="spellEnd"/>
            <w:r w:rsidRPr="007251A3">
              <w:rPr>
                <w:rFonts w:cs="Times New Roman"/>
              </w:rPr>
              <w:t xml:space="preserve"> – 110 </w:t>
            </w:r>
          </w:p>
          <w:p w:rsidR="0009772E" w:rsidRPr="007251A3" w:rsidRDefault="0009772E" w:rsidP="001B2014">
            <w:pPr>
              <w:rPr>
                <w:rFonts w:cs="Times New Roman"/>
              </w:rPr>
            </w:pPr>
            <w:r w:rsidRPr="007251A3">
              <w:rPr>
                <w:rFonts w:cs="Times New Roman"/>
              </w:rPr>
              <w:t xml:space="preserve">- Liczba wydanych broszur informacyjnych – 200 </w:t>
            </w:r>
          </w:p>
        </w:tc>
        <w:tc>
          <w:tcPr>
            <w:tcW w:w="1843" w:type="dxa"/>
          </w:tcPr>
          <w:p w:rsidR="0009772E" w:rsidRPr="007251A3" w:rsidRDefault="0009772E" w:rsidP="001B2014">
            <w:pPr>
              <w:spacing w:line="100" w:lineRule="atLeast"/>
              <w:rPr>
                <w:rFonts w:cs="Times New Roman"/>
              </w:rPr>
            </w:pPr>
            <w:r>
              <w:rPr>
                <w:rFonts w:cs="Times New Roman"/>
              </w:rPr>
              <w:t>- Liczb</w:t>
            </w:r>
            <w:r w:rsidRPr="007251A3">
              <w:rPr>
                <w:rFonts w:cs="Times New Roman"/>
              </w:rPr>
              <w:t>a odbiorców 135</w:t>
            </w:r>
          </w:p>
          <w:p w:rsidR="0009772E" w:rsidRPr="007251A3" w:rsidRDefault="0009772E" w:rsidP="001B2014">
            <w:pPr>
              <w:spacing w:line="100" w:lineRule="atLeast"/>
              <w:rPr>
                <w:rFonts w:cs="Times New Roman"/>
              </w:rPr>
            </w:pPr>
            <w:r>
              <w:rPr>
                <w:rFonts w:cs="Times New Roman"/>
              </w:rPr>
              <w:t>- Liczba odbiorców 6</w:t>
            </w:r>
            <w:r w:rsidRPr="007251A3">
              <w:rPr>
                <w:rFonts w:cs="Times New Roman"/>
              </w:rPr>
              <w:t>000</w:t>
            </w:r>
          </w:p>
          <w:p w:rsidR="0009772E" w:rsidRPr="007251A3" w:rsidRDefault="0009772E" w:rsidP="001B2014">
            <w:pPr>
              <w:spacing w:line="100" w:lineRule="atLeast"/>
              <w:rPr>
                <w:rFonts w:cs="Times New Roman"/>
              </w:rPr>
            </w:pPr>
            <w:r w:rsidRPr="007251A3">
              <w:rPr>
                <w:rFonts w:cs="Times New Roman"/>
              </w:rPr>
              <w:t>- Liczba odbiorców  110</w:t>
            </w:r>
          </w:p>
          <w:p w:rsidR="0009772E" w:rsidRPr="007251A3" w:rsidRDefault="0009772E" w:rsidP="001B2014">
            <w:pPr>
              <w:snapToGrid w:val="0"/>
              <w:spacing w:line="100" w:lineRule="atLeast"/>
              <w:rPr>
                <w:rFonts w:cs="Times New Roman"/>
              </w:rPr>
            </w:pPr>
          </w:p>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Pr>
                <w:rFonts w:cs="Times New Roman"/>
              </w:rPr>
              <w:t xml:space="preserve">II </w:t>
            </w:r>
            <w:proofErr w:type="spellStart"/>
            <w:r>
              <w:rPr>
                <w:rFonts w:cs="Times New Roman"/>
              </w:rPr>
              <w:t>poł</w:t>
            </w:r>
            <w:proofErr w:type="spellEnd"/>
            <w:r>
              <w:rPr>
                <w:rFonts w:cs="Times New Roman"/>
              </w:rPr>
              <w:t>.</w:t>
            </w:r>
            <w:r w:rsidRPr="00F00FB8">
              <w:rPr>
                <w:rFonts w:cs="Times New Roman"/>
              </w:rPr>
              <w:t xml:space="preserve"> 2018</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na etapie przygotowania wniosków o 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EA44A8" w:rsidRDefault="0009772E" w:rsidP="001B2014">
            <w:pPr>
              <w:rPr>
                <w:rFonts w:cs="Times New Roman"/>
              </w:rPr>
            </w:pPr>
            <w:r w:rsidRPr="00EA44A8">
              <w:rPr>
                <w:rFonts w:cs="Times New Roman"/>
              </w:rPr>
              <w:t>- ankiety elektroniczne rozsyłane do wnioskodawców</w:t>
            </w:r>
          </w:p>
          <w:p w:rsidR="0009772E" w:rsidRPr="00EA44A8" w:rsidRDefault="0009772E" w:rsidP="001B2014">
            <w:pPr>
              <w:rPr>
                <w:rFonts w:cs="Times New Roman"/>
              </w:rPr>
            </w:pPr>
            <w:r w:rsidRPr="00EA44A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w:t>
            </w:r>
            <w:proofErr w:type="spellStart"/>
            <w:r w:rsidRPr="007251A3">
              <w:rPr>
                <w:rFonts w:ascii="Calibri" w:eastAsia="Calibri" w:hAnsi="Calibri" w:cs="Times New Roman"/>
              </w:rPr>
              <w:t>on-line</w:t>
            </w:r>
            <w:proofErr w:type="spellEnd"/>
            <w:r w:rsidRPr="007251A3">
              <w:rPr>
                <w:rFonts w:ascii="Calibri" w:eastAsia="Calibri" w:hAnsi="Calibri" w:cs="Times New Roman"/>
              </w:rPr>
              <w:t xml:space="preserv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3" w:type="dxa"/>
            <w:tcBorders>
              <w:bottom w:val="single" w:sz="4" w:space="0" w:color="auto"/>
            </w:tcBorders>
          </w:tcPr>
          <w:p w:rsidR="0009772E" w:rsidRPr="007251A3" w:rsidRDefault="0009772E" w:rsidP="001B2014">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09772E" w:rsidRPr="007251A3" w:rsidRDefault="0009772E" w:rsidP="001B2014">
            <w:pPr>
              <w:rPr>
                <w:rFonts w:cs="Times New Roman"/>
              </w:rPr>
            </w:pPr>
          </w:p>
        </w:tc>
      </w:tr>
      <w:tr w:rsidR="0009772E" w:rsidRPr="00EA44A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2019</w:t>
            </w:r>
          </w:p>
        </w:tc>
      </w:tr>
      <w:tr w:rsidR="0009772E" w:rsidRPr="00F00FB8" w:rsidTr="001B2014">
        <w:tc>
          <w:tcPr>
            <w:tcW w:w="710" w:type="dxa"/>
            <w:shd w:val="clear" w:color="auto" w:fill="auto"/>
          </w:tcPr>
          <w:p w:rsidR="0009772E" w:rsidRPr="003760A6" w:rsidRDefault="0009772E" w:rsidP="001B2014">
            <w:pPr>
              <w:rPr>
                <w:rFonts w:cs="Times New Roman"/>
              </w:rPr>
            </w:pPr>
            <w:r w:rsidRPr="003760A6">
              <w:rPr>
                <w:rFonts w:cs="Times New Roman"/>
              </w:rPr>
              <w:t xml:space="preserve">I </w:t>
            </w:r>
            <w:proofErr w:type="spellStart"/>
            <w:r w:rsidRPr="003760A6">
              <w:rPr>
                <w:rFonts w:cs="Times New Roman"/>
              </w:rPr>
              <w:t>poł</w:t>
            </w:r>
            <w:proofErr w:type="spellEnd"/>
            <w:r w:rsidRPr="003760A6">
              <w:rPr>
                <w:rFonts w:cs="Times New Roman"/>
              </w:rPr>
              <w:t>. 2019(</w:t>
            </w:r>
            <w:proofErr w:type="spellStart"/>
            <w:r w:rsidRPr="003760A6">
              <w:rPr>
                <w:rFonts w:cs="Times New Roman"/>
              </w:rPr>
              <w:t>I–III</w:t>
            </w:r>
            <w:proofErr w:type="spellEnd"/>
            <w:r w:rsidRPr="003760A6">
              <w:rPr>
                <w:rFonts w:cs="Times New Roman"/>
              </w:rPr>
              <w:t>)</w:t>
            </w:r>
          </w:p>
        </w:tc>
        <w:tc>
          <w:tcPr>
            <w:tcW w:w="2551" w:type="dxa"/>
            <w:shd w:val="clear" w:color="auto" w:fill="auto"/>
          </w:tcPr>
          <w:p w:rsidR="0009772E" w:rsidRPr="003760A6" w:rsidRDefault="0009772E" w:rsidP="001B2014">
            <w:pPr>
              <w:rPr>
                <w:rFonts w:cs="Times New Roman"/>
              </w:rPr>
            </w:pPr>
            <w:r w:rsidRPr="003760A6">
              <w:rPr>
                <w:rFonts w:cs="Times New Roman"/>
              </w:rPr>
              <w:t xml:space="preserve">Aktywizacja przedstawicieli grup wykluczonych i </w:t>
            </w:r>
            <w:proofErr w:type="spellStart"/>
            <w:r w:rsidRPr="003760A6">
              <w:rPr>
                <w:rFonts w:cs="Times New Roman"/>
              </w:rPr>
              <w:t>defaworyzowanych</w:t>
            </w:r>
            <w:proofErr w:type="spellEnd"/>
            <w:r w:rsidRPr="003760A6">
              <w:rPr>
                <w:rFonts w:cs="Times New Roman"/>
              </w:rPr>
              <w:t xml:space="preserve"> ze względu na dostęp do rynku pracy poprzez wsparcie w procesie pozyskiwania dotacji oraz zachętę do udziału w </w:t>
            </w:r>
            <w:r w:rsidRPr="003760A6">
              <w:rPr>
                <w:rFonts w:cs="Times New Roman"/>
              </w:rPr>
              <w:lastRenderedPageBreak/>
              <w:t>projektach grantowych</w:t>
            </w:r>
          </w:p>
        </w:tc>
        <w:tc>
          <w:tcPr>
            <w:tcW w:w="1985" w:type="dxa"/>
            <w:gridSpan w:val="2"/>
            <w:shd w:val="clear" w:color="auto" w:fill="auto"/>
          </w:tcPr>
          <w:p w:rsidR="0009772E" w:rsidRPr="003760A6" w:rsidRDefault="0009772E" w:rsidP="001B2014">
            <w:pPr>
              <w:rPr>
                <w:rFonts w:cs="Times New Roman"/>
              </w:rPr>
            </w:pPr>
            <w:r w:rsidRPr="003760A6">
              <w:rPr>
                <w:rFonts w:cs="Times New Roman"/>
              </w:rPr>
              <w:lastRenderedPageBreak/>
              <w:t>Kampania informacyjna nt. głównych założeń LSR na lata 2014-2020</w:t>
            </w:r>
          </w:p>
        </w:tc>
        <w:tc>
          <w:tcPr>
            <w:tcW w:w="2126" w:type="dxa"/>
            <w:shd w:val="clear" w:color="auto" w:fill="auto"/>
          </w:tcPr>
          <w:p w:rsidR="0009772E" w:rsidRPr="003760A6" w:rsidRDefault="0009772E" w:rsidP="001B2014">
            <w:pPr>
              <w:rPr>
                <w:rFonts w:cs="Times New Roman"/>
              </w:rPr>
            </w:pPr>
            <w:r w:rsidRPr="003760A6">
              <w:rPr>
                <w:rFonts w:cs="Times New Roman"/>
              </w:rPr>
              <w:t>- grupy</w:t>
            </w:r>
            <w:r>
              <w:rPr>
                <w:rFonts w:cs="Times New Roman"/>
              </w:rPr>
              <w:t xml:space="preserve"> </w:t>
            </w:r>
            <w:proofErr w:type="spellStart"/>
            <w:r w:rsidRPr="003760A6">
              <w:rPr>
                <w:rFonts w:cs="Times New Roman"/>
              </w:rPr>
              <w:t>defaworyzowane</w:t>
            </w:r>
            <w:proofErr w:type="spellEnd"/>
            <w:r w:rsidRPr="003760A6">
              <w:rPr>
                <w:rFonts w:cs="Times New Roman"/>
              </w:rPr>
              <w:t xml:space="preserve"> oraz osoby zagrożone wykluczeniem społecznym</w:t>
            </w:r>
          </w:p>
        </w:tc>
        <w:tc>
          <w:tcPr>
            <w:tcW w:w="2835" w:type="dxa"/>
            <w:shd w:val="clear" w:color="auto" w:fill="auto"/>
          </w:tcPr>
          <w:p w:rsidR="0009772E" w:rsidRPr="003760A6" w:rsidRDefault="0009772E" w:rsidP="001B2014">
            <w:pPr>
              <w:rPr>
                <w:rFonts w:cs="Times New Roman"/>
              </w:rPr>
            </w:pPr>
            <w:r w:rsidRPr="003760A6">
              <w:rPr>
                <w:rFonts w:cs="Times New Roman"/>
              </w:rPr>
              <w:t>- ogłoszenia w prasie lokalnej/artykuły sponsorowane</w:t>
            </w:r>
          </w:p>
          <w:p w:rsidR="0009772E" w:rsidRPr="003760A6" w:rsidRDefault="0009772E" w:rsidP="001B2014">
            <w:pPr>
              <w:rPr>
                <w:rFonts w:cs="Times New Roman"/>
              </w:rPr>
            </w:pPr>
            <w:r w:rsidRPr="003760A6">
              <w:rPr>
                <w:rFonts w:cs="Times New Roman"/>
              </w:rPr>
              <w:t>- wyjazdy studyjne dla mieszkańców</w:t>
            </w:r>
          </w:p>
          <w:p w:rsidR="0009772E" w:rsidRPr="003760A6" w:rsidRDefault="0009772E" w:rsidP="001B2014">
            <w:pPr>
              <w:rPr>
                <w:rFonts w:cs="Times New Roman"/>
              </w:rPr>
            </w:pPr>
            <w:r w:rsidRPr="003760A6">
              <w:rPr>
                <w:rFonts w:cs="Times New Roman"/>
              </w:rPr>
              <w:t>- konkursy plastyczne dla mieszkańców</w:t>
            </w:r>
          </w:p>
        </w:tc>
        <w:tc>
          <w:tcPr>
            <w:tcW w:w="3260" w:type="dxa"/>
            <w:gridSpan w:val="2"/>
          </w:tcPr>
          <w:p w:rsidR="0009772E" w:rsidRPr="003760A6" w:rsidRDefault="0009772E" w:rsidP="001B2014">
            <w:pPr>
              <w:spacing w:line="100" w:lineRule="atLeast"/>
              <w:rPr>
                <w:rFonts w:cs="Times New Roman"/>
              </w:rPr>
            </w:pPr>
            <w:r w:rsidRPr="003760A6">
              <w:rPr>
                <w:rFonts w:cs="Times New Roman"/>
              </w:rPr>
              <w:t xml:space="preserve">- Liczba ogłoszeń w prasie – 2 </w:t>
            </w:r>
          </w:p>
          <w:p w:rsidR="0009772E" w:rsidRPr="003760A6" w:rsidRDefault="0009772E" w:rsidP="001B2014">
            <w:pPr>
              <w:spacing w:line="100" w:lineRule="atLeast"/>
              <w:rPr>
                <w:rFonts w:cs="Times New Roman"/>
              </w:rPr>
            </w:pPr>
          </w:p>
          <w:p w:rsidR="0009772E" w:rsidRPr="003760A6" w:rsidRDefault="0009772E" w:rsidP="001B2014">
            <w:pPr>
              <w:spacing w:line="100" w:lineRule="atLeast"/>
              <w:rPr>
                <w:rFonts w:cs="Times New Roman"/>
              </w:rPr>
            </w:pPr>
            <w:r w:rsidRPr="003760A6">
              <w:rPr>
                <w:rFonts w:cs="Times New Roman"/>
              </w:rPr>
              <w:t xml:space="preserve">- Liczba artykułów sponsorowanych w lokalnej prasie – 1 </w:t>
            </w:r>
          </w:p>
          <w:p w:rsidR="0009772E" w:rsidRPr="003760A6" w:rsidRDefault="0009772E" w:rsidP="001B2014">
            <w:pPr>
              <w:spacing w:line="100" w:lineRule="atLeast"/>
              <w:rPr>
                <w:rFonts w:cs="Times New Roman"/>
              </w:rPr>
            </w:pPr>
            <w:r w:rsidRPr="003760A6">
              <w:rPr>
                <w:rFonts w:cs="Times New Roman"/>
              </w:rPr>
              <w:t xml:space="preserve">- Liczba wyjazdów studyjnych dla mieszkańców – 1  </w:t>
            </w:r>
          </w:p>
          <w:p w:rsidR="0009772E" w:rsidRPr="003760A6" w:rsidRDefault="0009772E" w:rsidP="001B2014">
            <w:pPr>
              <w:spacing w:line="100" w:lineRule="atLeast"/>
              <w:rPr>
                <w:rFonts w:cs="Times New Roman"/>
              </w:rPr>
            </w:pPr>
            <w:r w:rsidRPr="003760A6">
              <w:rPr>
                <w:rFonts w:ascii="Calibri" w:eastAsia="Calibri" w:hAnsi="Calibri" w:cs="Times New Roman"/>
              </w:rPr>
              <w:t xml:space="preserve">- Liczba zorganizowanych konkursów plastycznych – 2 </w:t>
            </w:r>
          </w:p>
          <w:p w:rsidR="0009772E" w:rsidRPr="003760A6" w:rsidRDefault="0009772E" w:rsidP="001B2014">
            <w:pPr>
              <w:rPr>
                <w:rFonts w:cs="Times New Roman"/>
              </w:rPr>
            </w:pPr>
          </w:p>
        </w:tc>
        <w:tc>
          <w:tcPr>
            <w:tcW w:w="1843" w:type="dxa"/>
          </w:tcPr>
          <w:p w:rsidR="0009772E" w:rsidRPr="003760A6" w:rsidRDefault="0009772E" w:rsidP="001B2014">
            <w:pPr>
              <w:rPr>
                <w:rFonts w:cs="Times New Roman"/>
              </w:rPr>
            </w:pPr>
            <w:r w:rsidRPr="003760A6">
              <w:rPr>
                <w:rFonts w:cs="Times New Roman"/>
              </w:rPr>
              <w:lastRenderedPageBreak/>
              <w:t>- Liczba odbiorców 8000</w:t>
            </w:r>
          </w:p>
          <w:p w:rsidR="0009772E" w:rsidRPr="003760A6" w:rsidRDefault="0009772E" w:rsidP="001B2014">
            <w:pPr>
              <w:rPr>
                <w:rFonts w:cs="Times New Roman"/>
              </w:rPr>
            </w:pPr>
            <w:r w:rsidRPr="003760A6">
              <w:rPr>
                <w:rFonts w:cs="Times New Roman"/>
              </w:rPr>
              <w:t>- Liczba odbiorców 4000</w:t>
            </w:r>
          </w:p>
          <w:p w:rsidR="0009772E" w:rsidRPr="003760A6" w:rsidRDefault="0009772E" w:rsidP="001B2014">
            <w:pPr>
              <w:rPr>
                <w:rFonts w:cs="Times New Roman"/>
              </w:rPr>
            </w:pPr>
          </w:p>
          <w:p w:rsidR="0009772E" w:rsidRPr="003760A6" w:rsidRDefault="0009772E" w:rsidP="001B2014">
            <w:pPr>
              <w:rPr>
                <w:rFonts w:cs="Times New Roman"/>
              </w:rPr>
            </w:pPr>
            <w:r w:rsidRPr="003760A6">
              <w:rPr>
                <w:rFonts w:cs="Times New Roman"/>
              </w:rPr>
              <w:t>- Liczba odbiorców 30</w:t>
            </w:r>
          </w:p>
          <w:p w:rsidR="0009772E" w:rsidRPr="003760A6" w:rsidRDefault="0009772E" w:rsidP="001B2014">
            <w:pPr>
              <w:snapToGrid w:val="0"/>
              <w:spacing w:line="100" w:lineRule="atLeast"/>
              <w:rPr>
                <w:rFonts w:cs="Times New Roman"/>
              </w:rPr>
            </w:pPr>
            <w:r w:rsidRPr="003760A6">
              <w:rPr>
                <w:rFonts w:cs="Times New Roman"/>
              </w:rPr>
              <w:t>- Liczba odbiorców 100</w:t>
            </w:r>
          </w:p>
        </w:tc>
      </w:tr>
      <w:tr w:rsidR="0009772E" w:rsidRPr="00F00FB8" w:rsidTr="001B2014">
        <w:tc>
          <w:tcPr>
            <w:tcW w:w="710" w:type="dxa"/>
            <w:shd w:val="clear" w:color="auto" w:fill="auto"/>
          </w:tcPr>
          <w:p w:rsidR="0009772E" w:rsidRPr="003760A6" w:rsidRDefault="0009772E" w:rsidP="001B2014">
            <w:pPr>
              <w:rPr>
                <w:rFonts w:cs="Times New Roman"/>
              </w:rPr>
            </w:pPr>
            <w:r w:rsidRPr="003760A6">
              <w:rPr>
                <w:rFonts w:cs="Times New Roman"/>
              </w:rPr>
              <w:lastRenderedPageBreak/>
              <w:t xml:space="preserve">I </w:t>
            </w:r>
            <w:proofErr w:type="spellStart"/>
            <w:r w:rsidRPr="003760A6">
              <w:rPr>
                <w:rFonts w:cs="Times New Roman"/>
              </w:rPr>
              <w:t>poł</w:t>
            </w:r>
            <w:proofErr w:type="spellEnd"/>
            <w:r w:rsidRPr="003760A6">
              <w:rPr>
                <w:rFonts w:cs="Times New Roman"/>
              </w:rPr>
              <w:t>. 2019 (IV-IV)</w:t>
            </w:r>
          </w:p>
        </w:tc>
        <w:tc>
          <w:tcPr>
            <w:tcW w:w="2551" w:type="dxa"/>
            <w:shd w:val="clear" w:color="auto" w:fill="auto"/>
          </w:tcPr>
          <w:p w:rsidR="0009772E" w:rsidRPr="003760A6" w:rsidRDefault="0009772E" w:rsidP="001B2014">
            <w:pPr>
              <w:rPr>
                <w:rFonts w:cs="Times New Roman"/>
              </w:rPr>
            </w:pPr>
            <w:r w:rsidRPr="003760A6">
              <w:rPr>
                <w:rFonts w:cs="Times New Roman"/>
              </w:rPr>
              <w:t xml:space="preserve">Aktywizacja mieszkańców, w tym przedstawicieli grup wykluczonych i </w:t>
            </w:r>
            <w:proofErr w:type="spellStart"/>
            <w:r w:rsidRPr="003760A6">
              <w:rPr>
                <w:rFonts w:cs="Times New Roman"/>
              </w:rPr>
              <w:t>defaworyzowanych</w:t>
            </w:r>
            <w:proofErr w:type="spellEnd"/>
            <w:r w:rsidRPr="003760A6">
              <w:rPr>
                <w:rFonts w:cs="Times New Roman"/>
              </w:rPr>
              <w:t xml:space="preserve"> ze względu na dostęp do rynku pracy poprzez wsparcie w procesie pozyskiwania dotacji oraz zachętę do udziału w projektach grantowych</w:t>
            </w:r>
          </w:p>
        </w:tc>
        <w:tc>
          <w:tcPr>
            <w:tcW w:w="1985" w:type="dxa"/>
            <w:gridSpan w:val="2"/>
            <w:shd w:val="clear" w:color="auto" w:fill="auto"/>
          </w:tcPr>
          <w:p w:rsidR="0009772E" w:rsidRPr="003760A6" w:rsidRDefault="0009772E" w:rsidP="001B2014">
            <w:pPr>
              <w:rPr>
                <w:rFonts w:cs="Times New Roman"/>
              </w:rPr>
            </w:pPr>
            <w:r w:rsidRPr="003760A6">
              <w:rPr>
                <w:rFonts w:cs="Times New Roman"/>
              </w:rPr>
              <w:t>Kampania informacyjna nt. głównych założeń LSR na lata 2014-2020</w:t>
            </w:r>
          </w:p>
        </w:tc>
        <w:tc>
          <w:tcPr>
            <w:tcW w:w="2126" w:type="dxa"/>
            <w:shd w:val="clear" w:color="auto" w:fill="auto"/>
          </w:tcPr>
          <w:p w:rsidR="0009772E" w:rsidRPr="003760A6" w:rsidRDefault="0009772E" w:rsidP="001B2014">
            <w:pPr>
              <w:rPr>
                <w:rFonts w:cs="Times New Roman"/>
              </w:rPr>
            </w:pPr>
            <w:r w:rsidRPr="003760A6">
              <w:rPr>
                <w:rFonts w:cs="Times New Roman"/>
              </w:rPr>
              <w:t>-mieszkańcy, w tym przedstawiciele grup</w:t>
            </w:r>
            <w:r w:rsidRPr="003760A6">
              <w:rPr>
                <w:rFonts w:cs="Times New Roman"/>
                <w:strike/>
              </w:rPr>
              <w:t xml:space="preserve"> </w:t>
            </w:r>
            <w:proofErr w:type="spellStart"/>
            <w:r w:rsidRPr="003760A6">
              <w:rPr>
                <w:rFonts w:cs="Times New Roman"/>
              </w:rPr>
              <w:t>defaworyzowanych</w:t>
            </w:r>
            <w:proofErr w:type="spellEnd"/>
            <w:r w:rsidRPr="003760A6">
              <w:rPr>
                <w:rFonts w:cs="Times New Roman"/>
              </w:rPr>
              <w:t xml:space="preserve"> oraz osoby zagrożone wykluczeniem społecznym</w:t>
            </w:r>
          </w:p>
        </w:tc>
        <w:tc>
          <w:tcPr>
            <w:tcW w:w="2835" w:type="dxa"/>
            <w:shd w:val="clear" w:color="auto" w:fill="auto"/>
          </w:tcPr>
          <w:p w:rsidR="0009772E" w:rsidRPr="003760A6" w:rsidRDefault="0009772E" w:rsidP="001B2014">
            <w:pPr>
              <w:rPr>
                <w:rFonts w:cs="Times New Roman"/>
              </w:rPr>
            </w:pPr>
            <w:r w:rsidRPr="003760A6">
              <w:rPr>
                <w:rFonts w:cs="Times New Roman"/>
              </w:rPr>
              <w:t>- ulotki i broszury rozdawane w siedzibach instytucji: Powiatowy Urząd Pracy, miejskie i gminne ośrodki pomocy społecznej i inne ośrodki i instytucje związane z usługami społecznymi, ODR</w:t>
            </w:r>
          </w:p>
          <w:p w:rsidR="0009772E" w:rsidRPr="003760A6" w:rsidRDefault="0009772E" w:rsidP="001B2014">
            <w:pPr>
              <w:rPr>
                <w:rFonts w:cs="Times New Roman"/>
                <w:strike/>
              </w:rPr>
            </w:pPr>
          </w:p>
        </w:tc>
        <w:tc>
          <w:tcPr>
            <w:tcW w:w="3260" w:type="dxa"/>
            <w:gridSpan w:val="2"/>
          </w:tcPr>
          <w:p w:rsidR="0009772E" w:rsidRPr="003760A6" w:rsidRDefault="0009772E" w:rsidP="001B2014">
            <w:pPr>
              <w:spacing w:line="100" w:lineRule="atLeast"/>
              <w:rPr>
                <w:rFonts w:cs="Times New Roman"/>
              </w:rPr>
            </w:pPr>
            <w:r w:rsidRPr="003760A6">
              <w:rPr>
                <w:rFonts w:cs="Times New Roman"/>
              </w:rPr>
              <w:t>- Liczba wydanych ulotek – 200</w:t>
            </w:r>
          </w:p>
          <w:p w:rsidR="0009772E" w:rsidRPr="003760A6" w:rsidRDefault="0009772E" w:rsidP="001B2014">
            <w:pPr>
              <w:spacing w:line="100" w:lineRule="atLeast"/>
              <w:rPr>
                <w:rFonts w:cs="Times New Roman"/>
              </w:rPr>
            </w:pPr>
          </w:p>
          <w:p w:rsidR="0009772E" w:rsidRPr="003760A6" w:rsidRDefault="0009772E" w:rsidP="001B2014">
            <w:pPr>
              <w:rPr>
                <w:rFonts w:cs="Times New Roman"/>
              </w:rPr>
            </w:pPr>
            <w:r w:rsidRPr="003760A6">
              <w:rPr>
                <w:rFonts w:cs="Times New Roman"/>
              </w:rPr>
              <w:t>- Liczba wydanych broszur informacyjnych – 1600</w:t>
            </w:r>
          </w:p>
          <w:p w:rsidR="0009772E" w:rsidRPr="003760A6" w:rsidRDefault="0009772E" w:rsidP="001B2014">
            <w:pPr>
              <w:rPr>
                <w:rFonts w:cs="Times New Roman"/>
              </w:rPr>
            </w:pPr>
          </w:p>
        </w:tc>
        <w:tc>
          <w:tcPr>
            <w:tcW w:w="1843" w:type="dxa"/>
          </w:tcPr>
          <w:p w:rsidR="0009772E" w:rsidRPr="003760A6" w:rsidRDefault="0009772E" w:rsidP="001B2014">
            <w:pPr>
              <w:rPr>
                <w:rFonts w:cs="Times New Roman"/>
              </w:rPr>
            </w:pPr>
            <w:r w:rsidRPr="003760A6">
              <w:rPr>
                <w:rFonts w:cs="Times New Roman"/>
              </w:rPr>
              <w:t>- Liczba odbiorców 200</w:t>
            </w:r>
          </w:p>
          <w:p w:rsidR="0009772E" w:rsidRPr="003760A6" w:rsidRDefault="0009772E" w:rsidP="001B2014">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09772E" w:rsidRPr="00F00FB8" w:rsidTr="001B2014">
        <w:tc>
          <w:tcPr>
            <w:tcW w:w="710" w:type="dxa"/>
            <w:tcBorders>
              <w:bottom w:val="single" w:sz="4" w:space="0" w:color="auto"/>
            </w:tcBorders>
          </w:tcPr>
          <w:p w:rsidR="0009772E" w:rsidRPr="00C544EF" w:rsidRDefault="0009772E" w:rsidP="001B2014">
            <w:pPr>
              <w:rPr>
                <w:rFonts w:cs="Times New Roman"/>
              </w:rPr>
            </w:pPr>
            <w:r w:rsidRPr="00C544EF">
              <w:rPr>
                <w:rFonts w:cs="Times New Roman"/>
              </w:rPr>
              <w:t xml:space="preserve">I </w:t>
            </w:r>
            <w:proofErr w:type="spellStart"/>
            <w:r w:rsidRPr="00C544EF">
              <w:rPr>
                <w:rFonts w:cs="Times New Roman"/>
              </w:rPr>
              <w:t>poł</w:t>
            </w:r>
            <w:proofErr w:type="spellEnd"/>
            <w:r w:rsidRPr="00C544EF">
              <w:rPr>
                <w:rFonts w:cs="Times New Roman"/>
              </w:rPr>
              <w:t>. 2019 (IV-IV)</w:t>
            </w:r>
          </w:p>
        </w:tc>
        <w:tc>
          <w:tcPr>
            <w:tcW w:w="2551" w:type="dxa"/>
            <w:tcBorders>
              <w:bottom w:val="single" w:sz="4" w:space="0" w:color="auto"/>
            </w:tcBorders>
          </w:tcPr>
          <w:p w:rsidR="0009772E" w:rsidRPr="00C544EF" w:rsidRDefault="0009772E" w:rsidP="001B2014">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5" w:type="dxa"/>
            <w:gridSpan w:val="2"/>
            <w:tcBorders>
              <w:bottom w:val="single" w:sz="4" w:space="0" w:color="auto"/>
            </w:tcBorders>
          </w:tcPr>
          <w:p w:rsidR="0009772E" w:rsidRPr="00C544EF" w:rsidRDefault="0009772E" w:rsidP="001B2014">
            <w:pPr>
              <w:rPr>
                <w:rFonts w:cs="Times New Roman"/>
              </w:rPr>
            </w:pPr>
            <w:r w:rsidRPr="00C544EF">
              <w:rPr>
                <w:rFonts w:cs="Times New Roman"/>
              </w:rPr>
              <w:t>Kampania informacyjna nt. głównych efektów realizacji LSR, w tym o stopniu osiągniętych wskaźników, wynikach działań ewaluacyjnych</w:t>
            </w:r>
          </w:p>
        </w:tc>
        <w:tc>
          <w:tcPr>
            <w:tcW w:w="2126" w:type="dxa"/>
            <w:tcBorders>
              <w:bottom w:val="single" w:sz="4" w:space="0" w:color="auto"/>
            </w:tcBorders>
          </w:tcPr>
          <w:p w:rsidR="0009772E" w:rsidRPr="00C544EF" w:rsidRDefault="0009772E" w:rsidP="001B2014">
            <w:pPr>
              <w:rPr>
                <w:rFonts w:cs="Times New Roman"/>
              </w:rPr>
            </w:pPr>
            <w:r w:rsidRPr="00C544EF">
              <w:rPr>
                <w:rFonts w:cs="Times New Roman"/>
              </w:rPr>
              <w:t>- wszyscy mieszkańcy obszaru LGD (ogół społeczeństwa)</w:t>
            </w:r>
          </w:p>
        </w:tc>
        <w:tc>
          <w:tcPr>
            <w:tcW w:w="2835" w:type="dxa"/>
            <w:tcBorders>
              <w:bottom w:val="single" w:sz="4" w:space="0" w:color="auto"/>
            </w:tcBorders>
          </w:tcPr>
          <w:p w:rsidR="0009772E" w:rsidRPr="00C544EF" w:rsidRDefault="0009772E" w:rsidP="001B2014">
            <w:pPr>
              <w:rPr>
                <w:rFonts w:cs="Times New Roman"/>
              </w:rPr>
            </w:pPr>
            <w:r w:rsidRPr="00C544EF">
              <w:rPr>
                <w:rFonts w:cs="Times New Roman"/>
              </w:rPr>
              <w:t>- ogłoszenie w prasie lokalnej/artykuły sponsorowane</w:t>
            </w:r>
          </w:p>
          <w:p w:rsidR="0009772E" w:rsidRPr="00C544EF" w:rsidRDefault="0009772E" w:rsidP="001B2014">
            <w:pPr>
              <w:rPr>
                <w:rFonts w:cs="Times New Roman"/>
              </w:rPr>
            </w:pPr>
            <w:r w:rsidRPr="00C544EF">
              <w:rPr>
                <w:rFonts w:cs="Times New Roman"/>
              </w:rPr>
              <w:t>- impreza promocyjna</w:t>
            </w:r>
          </w:p>
        </w:tc>
        <w:tc>
          <w:tcPr>
            <w:tcW w:w="3260" w:type="dxa"/>
            <w:gridSpan w:val="2"/>
            <w:tcBorders>
              <w:bottom w:val="single" w:sz="4" w:space="0" w:color="auto"/>
            </w:tcBorders>
          </w:tcPr>
          <w:p w:rsidR="0009772E" w:rsidRPr="00C544EF" w:rsidRDefault="0009772E" w:rsidP="001B2014">
            <w:pPr>
              <w:rPr>
                <w:rFonts w:cs="Times New Roman"/>
              </w:rPr>
            </w:pPr>
            <w:r w:rsidRPr="00C544EF">
              <w:rPr>
                <w:rFonts w:cs="Times New Roman"/>
              </w:rPr>
              <w:t>- Liczba ogłoszeń w lokalnej prasie – 3</w:t>
            </w:r>
          </w:p>
          <w:p w:rsidR="0009772E" w:rsidRPr="00C544EF" w:rsidRDefault="0009772E" w:rsidP="001B2014">
            <w:pPr>
              <w:rPr>
                <w:rFonts w:cs="Times New Roman"/>
              </w:rPr>
            </w:pPr>
            <w:r w:rsidRPr="00C544EF">
              <w:rPr>
                <w:rFonts w:cs="Times New Roman"/>
              </w:rPr>
              <w:t>- Liczba artykułów sponsorowanych w lokalnej prasie – 1</w:t>
            </w:r>
          </w:p>
          <w:p w:rsidR="0009772E" w:rsidRPr="00C544EF" w:rsidRDefault="0009772E" w:rsidP="001B2014">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3" w:type="dxa"/>
            <w:tcBorders>
              <w:bottom w:val="single" w:sz="4" w:space="0" w:color="auto"/>
            </w:tcBorders>
          </w:tcPr>
          <w:p w:rsidR="0009772E" w:rsidRPr="00C544EF" w:rsidRDefault="0009772E" w:rsidP="001B2014">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09772E" w:rsidRPr="00C544EF" w:rsidRDefault="0009772E" w:rsidP="001B2014">
            <w:pPr>
              <w:snapToGrid w:val="0"/>
              <w:spacing w:line="100" w:lineRule="atLeast"/>
              <w:rPr>
                <w:rFonts w:cs="Times New Roman"/>
              </w:rPr>
            </w:pPr>
            <w:r w:rsidRPr="00C544EF">
              <w:rPr>
                <w:rFonts w:cs="Times New Roman"/>
              </w:rPr>
              <w:t>- Liczba odbiorców 4000</w:t>
            </w:r>
          </w:p>
          <w:p w:rsidR="0009772E" w:rsidRPr="00C544EF" w:rsidRDefault="0009772E" w:rsidP="001B2014">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09772E" w:rsidRPr="00F00FB8" w:rsidTr="001B2014">
        <w:tc>
          <w:tcPr>
            <w:tcW w:w="710" w:type="dxa"/>
            <w:tcBorders>
              <w:bottom w:val="single" w:sz="4" w:space="0" w:color="auto"/>
            </w:tcBorders>
          </w:tcPr>
          <w:p w:rsidR="0009772E" w:rsidRPr="00C544EF" w:rsidRDefault="0009772E" w:rsidP="001B2014">
            <w:pPr>
              <w:rPr>
                <w:rFonts w:cs="Times New Roman"/>
              </w:rPr>
            </w:pPr>
            <w:r w:rsidRPr="00C544EF">
              <w:rPr>
                <w:rFonts w:cs="Times New Roman"/>
              </w:rPr>
              <w:t xml:space="preserve">I </w:t>
            </w:r>
            <w:proofErr w:type="spellStart"/>
            <w:r w:rsidRPr="00C544EF">
              <w:rPr>
                <w:rFonts w:cs="Times New Roman"/>
              </w:rPr>
              <w:t>poł</w:t>
            </w:r>
            <w:proofErr w:type="spellEnd"/>
            <w:r w:rsidRPr="00C544EF">
              <w:rPr>
                <w:rFonts w:cs="Times New Roman"/>
              </w:rPr>
              <w:t>. 2019 (IV-IV)</w:t>
            </w:r>
          </w:p>
        </w:tc>
        <w:tc>
          <w:tcPr>
            <w:tcW w:w="2551" w:type="dxa"/>
            <w:tcBorders>
              <w:bottom w:val="single" w:sz="4" w:space="0" w:color="auto"/>
            </w:tcBorders>
          </w:tcPr>
          <w:p w:rsidR="0009772E" w:rsidRPr="00C544EF" w:rsidRDefault="0009772E" w:rsidP="001B2014">
            <w:pPr>
              <w:rPr>
                <w:rFonts w:cs="Times New Roman"/>
              </w:rPr>
            </w:pPr>
            <w:r w:rsidRPr="00C544EF">
              <w:rPr>
                <w:rFonts w:cs="Times New Roman"/>
              </w:rPr>
              <w:t>Przekazanie informacji o ogłoszeniu konkursu/konkursów tematycznych na wybór operacji do dofinansowania</w:t>
            </w:r>
          </w:p>
        </w:tc>
        <w:tc>
          <w:tcPr>
            <w:tcW w:w="1985" w:type="dxa"/>
            <w:gridSpan w:val="2"/>
            <w:tcBorders>
              <w:bottom w:val="single" w:sz="4" w:space="0" w:color="auto"/>
            </w:tcBorders>
          </w:tcPr>
          <w:p w:rsidR="0009772E" w:rsidRPr="00C544EF" w:rsidRDefault="0009772E" w:rsidP="001B2014">
            <w:pPr>
              <w:rPr>
                <w:rFonts w:cs="Times New Roman"/>
              </w:rPr>
            </w:pPr>
            <w:r w:rsidRPr="00C544EF">
              <w:rPr>
                <w:rFonts w:cs="Times New Roman"/>
              </w:rPr>
              <w:t>Kampania informacyjna nt. ogłoszonego konkursu/konkursów</w:t>
            </w:r>
          </w:p>
        </w:tc>
        <w:tc>
          <w:tcPr>
            <w:tcW w:w="2126" w:type="dxa"/>
            <w:tcBorders>
              <w:bottom w:val="single" w:sz="4" w:space="0" w:color="auto"/>
            </w:tcBorders>
          </w:tcPr>
          <w:p w:rsidR="0009772E" w:rsidRPr="00C544EF" w:rsidRDefault="0009772E" w:rsidP="001B2014">
            <w:pPr>
              <w:rPr>
                <w:rFonts w:cs="Times New Roman"/>
              </w:rPr>
            </w:pPr>
            <w:r w:rsidRPr="00C544EF">
              <w:rPr>
                <w:rFonts w:cs="Times New Roman"/>
              </w:rPr>
              <w:t xml:space="preserve">- wszyscy potencjalni wnioskodawcy, w tym przedsiębiorcy, rolnicy, organizacje pozarządowe i pozostali mieszkańcy obszaru, w tym przedstawiciele grup </w:t>
            </w:r>
            <w:proofErr w:type="spellStart"/>
            <w:r w:rsidRPr="00C544EF">
              <w:rPr>
                <w:rFonts w:cs="Times New Roman"/>
              </w:rPr>
              <w:t>defaworyzowanych</w:t>
            </w:r>
            <w:proofErr w:type="spellEnd"/>
            <w:r w:rsidRPr="00C544EF">
              <w:rPr>
                <w:rFonts w:cs="Times New Roman"/>
              </w:rPr>
              <w:t xml:space="preserve"> </w:t>
            </w:r>
          </w:p>
        </w:tc>
        <w:tc>
          <w:tcPr>
            <w:tcW w:w="2835" w:type="dxa"/>
            <w:tcBorders>
              <w:bottom w:val="single" w:sz="4" w:space="0" w:color="auto"/>
            </w:tcBorders>
          </w:tcPr>
          <w:p w:rsidR="0009772E" w:rsidRPr="00C544EF" w:rsidRDefault="0009772E" w:rsidP="001B2014">
            <w:pPr>
              <w:rPr>
                <w:rFonts w:cs="Times New Roman"/>
              </w:rPr>
            </w:pPr>
            <w:r w:rsidRPr="00C544EF">
              <w:rPr>
                <w:rFonts w:cs="Times New Roman"/>
              </w:rPr>
              <w:t>- ogłoszenia w lokalnej prasie</w:t>
            </w:r>
          </w:p>
          <w:p w:rsidR="0009772E" w:rsidRPr="00C544EF" w:rsidRDefault="0009772E" w:rsidP="001B2014">
            <w:pPr>
              <w:rPr>
                <w:rFonts w:cs="Times New Roman"/>
              </w:rPr>
            </w:pPr>
            <w:r w:rsidRPr="00C544EF">
              <w:rPr>
                <w:rFonts w:cs="Times New Roman"/>
              </w:rPr>
              <w:t xml:space="preserve">- plakaty </w:t>
            </w:r>
          </w:p>
          <w:p w:rsidR="0009772E" w:rsidRPr="00C544EF" w:rsidRDefault="0009772E" w:rsidP="001B2014">
            <w:pPr>
              <w:rPr>
                <w:rFonts w:cs="Times New Roman"/>
                <w:strike/>
              </w:rPr>
            </w:pPr>
          </w:p>
        </w:tc>
        <w:tc>
          <w:tcPr>
            <w:tcW w:w="3260" w:type="dxa"/>
            <w:gridSpan w:val="2"/>
            <w:tcBorders>
              <w:bottom w:val="single" w:sz="4" w:space="0" w:color="auto"/>
            </w:tcBorders>
          </w:tcPr>
          <w:p w:rsidR="0009772E" w:rsidRPr="007251A3" w:rsidRDefault="0009772E" w:rsidP="001B2014">
            <w:pPr>
              <w:rPr>
                <w:rFonts w:cs="Times New Roman"/>
              </w:rPr>
            </w:pPr>
            <w:r w:rsidRPr="007251A3">
              <w:rPr>
                <w:rFonts w:cs="Times New Roman"/>
              </w:rPr>
              <w:t xml:space="preserve">- Liczba ogłoszeń w lokalnej prasie – 2 </w:t>
            </w:r>
          </w:p>
          <w:p w:rsidR="0009772E" w:rsidRPr="007251A3" w:rsidRDefault="0009772E" w:rsidP="001B2014">
            <w:pPr>
              <w:rPr>
                <w:rFonts w:cs="Times New Roman"/>
              </w:rPr>
            </w:pPr>
            <w:r w:rsidRPr="007251A3">
              <w:rPr>
                <w:rFonts w:cs="Times New Roman"/>
              </w:rPr>
              <w:t>- Liczba wydrukowanych plakatów ogłoszeniowych – 350</w:t>
            </w:r>
          </w:p>
        </w:tc>
        <w:tc>
          <w:tcPr>
            <w:tcW w:w="1843" w:type="dxa"/>
            <w:tcBorders>
              <w:bottom w:val="single" w:sz="4" w:space="0" w:color="auto"/>
            </w:tcBorders>
          </w:tcPr>
          <w:p w:rsidR="0009772E" w:rsidRPr="007251A3" w:rsidRDefault="0009772E" w:rsidP="001B2014">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09772E" w:rsidRPr="007251A3" w:rsidRDefault="0009772E" w:rsidP="001B2014">
            <w:pPr>
              <w:snapToGrid w:val="0"/>
              <w:spacing w:line="100" w:lineRule="atLeast"/>
              <w:rPr>
                <w:rFonts w:cs="Times New Roman"/>
              </w:rPr>
            </w:pPr>
            <w:r w:rsidRPr="007251A3">
              <w:rPr>
                <w:rFonts w:cs="Times New Roman"/>
              </w:rPr>
              <w:t>- Liczba odbiorców 10500</w:t>
            </w:r>
          </w:p>
          <w:p w:rsidR="0009772E" w:rsidRPr="007251A3" w:rsidRDefault="0009772E" w:rsidP="001B2014">
            <w:pPr>
              <w:rPr>
                <w:rFonts w:cs="Times New Roman"/>
              </w:rPr>
            </w:pPr>
          </w:p>
        </w:tc>
      </w:tr>
      <w:tr w:rsidR="0009772E" w:rsidRPr="00F00FB8" w:rsidTr="001B2014">
        <w:tc>
          <w:tcPr>
            <w:tcW w:w="710" w:type="dxa"/>
            <w:tcBorders>
              <w:bottom w:val="single" w:sz="4" w:space="0" w:color="auto"/>
            </w:tcBorders>
          </w:tcPr>
          <w:p w:rsidR="0009772E" w:rsidRPr="00124404" w:rsidRDefault="0009772E" w:rsidP="001B2014">
            <w:pPr>
              <w:rPr>
                <w:rFonts w:cs="Times New Roman"/>
              </w:rPr>
            </w:pPr>
            <w:r w:rsidRPr="00124404">
              <w:rPr>
                <w:rFonts w:cs="Times New Roman"/>
              </w:rPr>
              <w:t xml:space="preserve">I </w:t>
            </w:r>
            <w:proofErr w:type="spellStart"/>
            <w:r w:rsidRPr="00124404">
              <w:rPr>
                <w:rFonts w:cs="Times New Roman"/>
              </w:rPr>
              <w:t>poł</w:t>
            </w:r>
            <w:proofErr w:type="spellEnd"/>
            <w:r w:rsidRPr="00124404">
              <w:rPr>
                <w:rFonts w:cs="Times New Roman"/>
              </w:rPr>
              <w:t>. 2019 (IV-</w:t>
            </w:r>
            <w:r w:rsidRPr="00124404">
              <w:rPr>
                <w:rFonts w:cs="Times New Roman"/>
              </w:rPr>
              <w:lastRenderedPageBreak/>
              <w:t>IV)</w:t>
            </w:r>
          </w:p>
        </w:tc>
        <w:tc>
          <w:tcPr>
            <w:tcW w:w="2551"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Zapewnienie informacji dla potencjalnych wnioskodawców </w:t>
            </w:r>
            <w:r w:rsidRPr="00124404">
              <w:rPr>
                <w:rFonts w:cs="Times New Roman"/>
              </w:rPr>
              <w:lastRenderedPageBreak/>
              <w:t>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Spotkania szkoleniowe dot. ogłoszonych </w:t>
            </w:r>
            <w:r w:rsidRPr="00124404">
              <w:rPr>
                <w:rFonts w:cs="Times New Roman"/>
              </w:rPr>
              <w:lastRenderedPageBreak/>
              <w:t>konkursów</w:t>
            </w:r>
          </w:p>
        </w:tc>
        <w:tc>
          <w:tcPr>
            <w:tcW w:w="2126"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xml:space="preserve">- wszyscy potencjalni wnioskodawcy, w tym przedsiębiorcy, </w:t>
            </w:r>
            <w:r w:rsidRPr="00124404">
              <w:rPr>
                <w:rFonts w:cs="Times New Roman"/>
              </w:rPr>
              <w:lastRenderedPageBreak/>
              <w:t xml:space="preserve">rolnicy, organizacje pozarządowe i pozostali mieszkańcy obszaru, w tym przedstawiciele grup </w:t>
            </w:r>
            <w:proofErr w:type="spellStart"/>
            <w:r w:rsidRPr="00124404">
              <w:rPr>
                <w:rFonts w:cs="Times New Roman"/>
              </w:rPr>
              <w:t>defaworyzowanych</w:t>
            </w:r>
            <w:proofErr w:type="spellEnd"/>
            <w:r w:rsidRPr="00124404">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ogłoszenia w prasie lokalnej</w:t>
            </w:r>
          </w:p>
          <w:p w:rsidR="0009772E" w:rsidRPr="00124404" w:rsidRDefault="0009772E" w:rsidP="001B2014">
            <w:pPr>
              <w:rPr>
                <w:rFonts w:cs="Times New Roman"/>
                <w:strike/>
              </w:rPr>
            </w:pPr>
            <w:r w:rsidRPr="00124404">
              <w:rPr>
                <w:rFonts w:cs="Times New Roman"/>
              </w:rPr>
              <w:t xml:space="preserve">- spotkania szkoleniowe </w:t>
            </w:r>
          </w:p>
          <w:p w:rsidR="0009772E" w:rsidRPr="00124404" w:rsidRDefault="0009772E" w:rsidP="001B2014">
            <w:pPr>
              <w:rPr>
                <w:rFonts w:cs="Times New Roman"/>
                <w:strike/>
              </w:rPr>
            </w:pPr>
          </w:p>
        </w:tc>
        <w:tc>
          <w:tcPr>
            <w:tcW w:w="3260" w:type="dxa"/>
            <w:gridSpan w:val="2"/>
            <w:tcBorders>
              <w:bottom w:val="single" w:sz="4" w:space="0" w:color="auto"/>
            </w:tcBorders>
          </w:tcPr>
          <w:p w:rsidR="0009772E" w:rsidRPr="00124404" w:rsidRDefault="0009772E" w:rsidP="001B2014">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09772E" w:rsidRPr="00124404" w:rsidRDefault="0009772E" w:rsidP="001B2014">
            <w:pPr>
              <w:spacing w:line="100" w:lineRule="atLeast"/>
              <w:rPr>
                <w:rFonts w:cs="Times New Roman"/>
              </w:rPr>
            </w:pPr>
            <w:r w:rsidRPr="00124404">
              <w:rPr>
                <w:rFonts w:cs="Times New Roman"/>
              </w:rPr>
              <w:t xml:space="preserve">- Liczba ogłoszeń w lokalnej </w:t>
            </w:r>
            <w:r w:rsidRPr="00124404">
              <w:rPr>
                <w:rFonts w:cs="Times New Roman"/>
              </w:rPr>
              <w:lastRenderedPageBreak/>
              <w:t xml:space="preserve">prasie – 1 </w:t>
            </w:r>
          </w:p>
          <w:p w:rsidR="0009772E" w:rsidRPr="00124404" w:rsidRDefault="0009772E" w:rsidP="001B2014">
            <w:pPr>
              <w:rPr>
                <w:rFonts w:cs="Times New Roman"/>
              </w:rPr>
            </w:pPr>
          </w:p>
        </w:tc>
        <w:tc>
          <w:tcPr>
            <w:tcW w:w="1843" w:type="dxa"/>
            <w:tcBorders>
              <w:bottom w:val="single" w:sz="4" w:space="0" w:color="auto"/>
            </w:tcBorders>
          </w:tcPr>
          <w:p w:rsidR="0009772E" w:rsidRPr="00124404" w:rsidRDefault="0009772E" w:rsidP="001B2014">
            <w:pPr>
              <w:snapToGrid w:val="0"/>
              <w:spacing w:line="100" w:lineRule="atLeast"/>
              <w:rPr>
                <w:rFonts w:eastAsia="DejaVuSans" w:cs="Calibri"/>
              </w:rPr>
            </w:pPr>
            <w:r w:rsidRPr="00124404">
              <w:rPr>
                <w:rFonts w:cs="Times New Roman"/>
              </w:rPr>
              <w:lastRenderedPageBreak/>
              <w:t>- Liczba odbiorców 25</w:t>
            </w:r>
          </w:p>
          <w:p w:rsidR="0009772E" w:rsidRPr="00124404" w:rsidRDefault="0009772E" w:rsidP="001B2014">
            <w:pPr>
              <w:snapToGrid w:val="0"/>
              <w:spacing w:line="100" w:lineRule="atLeast"/>
              <w:rPr>
                <w:rFonts w:cs="Times New Roman"/>
              </w:rPr>
            </w:pPr>
            <w:r w:rsidRPr="00124404">
              <w:rPr>
                <w:rFonts w:cs="Times New Roman"/>
              </w:rPr>
              <w:t xml:space="preserve">- Liczba </w:t>
            </w:r>
            <w:r w:rsidRPr="00124404">
              <w:rPr>
                <w:rFonts w:cs="Times New Roman"/>
              </w:rPr>
              <w:lastRenderedPageBreak/>
              <w:t>odbiorców 4000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w:t>
            </w:r>
            <w:r>
              <w:rPr>
                <w:rFonts w:cs="Times New Roman"/>
              </w:rPr>
              <w:t>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09772E" w:rsidRPr="00F00FB8" w:rsidRDefault="0009772E" w:rsidP="001B2014">
            <w:pPr>
              <w:rPr>
                <w:rFonts w:cs="Times New Roman"/>
              </w:rPr>
            </w:pPr>
            <w:r w:rsidRPr="00F00FB8">
              <w:rPr>
                <w:rFonts w:cs="Times New Roman"/>
              </w:rPr>
              <w:t>oraz</w:t>
            </w:r>
          </w:p>
          <w:p w:rsidR="0009772E" w:rsidRPr="00F00FB8" w:rsidRDefault="0009772E" w:rsidP="001B2014">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Kampania informacyjna nt. stanu realizacji LSR, w tym o stopniu osiągniętych wskaźników, wynikach działań ewaluacyjnych</w:t>
            </w:r>
          </w:p>
          <w:p w:rsidR="0009772E" w:rsidRPr="00F00FB8" w:rsidRDefault="0009772E" w:rsidP="001B2014">
            <w:pPr>
              <w:rPr>
                <w:rFonts w:cs="Times New Roman"/>
              </w:rPr>
            </w:pP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wszyscy mieszkańcy obszaru LGD (ogół społeczeństwa)</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lokalnej prasie/artykuły sponsorowane</w:t>
            </w:r>
          </w:p>
          <w:p w:rsidR="0009772E" w:rsidRPr="00A3572A" w:rsidRDefault="0009772E" w:rsidP="001B2014">
            <w:pPr>
              <w:rPr>
                <w:rFonts w:cs="Times New Roman"/>
              </w:rPr>
            </w:pPr>
            <w:r w:rsidRPr="00A3572A">
              <w:rPr>
                <w:rFonts w:cs="Times New Roman"/>
              </w:rPr>
              <w:t>- ulotki i broszury informacyjne</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t>- Liczba ogłoszeń w lokalnej prasie – 2</w:t>
            </w:r>
          </w:p>
          <w:p w:rsidR="0009772E" w:rsidRDefault="0009772E" w:rsidP="001B2014">
            <w:pPr>
              <w:snapToGrid w:val="0"/>
              <w:spacing w:line="100" w:lineRule="atLeast"/>
            </w:pPr>
            <w:r w:rsidRPr="00A3572A">
              <w:t>- Liczba artykułów sponsorowa</w:t>
            </w:r>
            <w:r w:rsidRPr="004D6A6B">
              <w:t xml:space="preserve">nych </w:t>
            </w:r>
            <w:r w:rsidRPr="00A3572A">
              <w:t xml:space="preserve">w lokalnej prasie – 2 </w:t>
            </w:r>
          </w:p>
          <w:p w:rsidR="0009772E" w:rsidRPr="00A3572A" w:rsidRDefault="0009772E" w:rsidP="001B2014">
            <w:pPr>
              <w:rPr>
                <w:rFonts w:cs="Times New Roman"/>
              </w:rPr>
            </w:pPr>
            <w:r w:rsidRPr="00A3572A">
              <w:rPr>
                <w:rFonts w:cs="Times New Roman"/>
              </w:rPr>
              <w:t>- Liczba wydanych ulotek – 200</w:t>
            </w:r>
          </w:p>
          <w:p w:rsidR="0009772E" w:rsidRPr="00A3572A" w:rsidRDefault="0009772E" w:rsidP="001B2014">
            <w:pPr>
              <w:rPr>
                <w:rFonts w:cs="Times New Roman"/>
              </w:rPr>
            </w:pPr>
          </w:p>
          <w:p w:rsidR="0009772E" w:rsidRPr="00A3572A" w:rsidRDefault="0009772E" w:rsidP="001B2014">
            <w:pPr>
              <w:rPr>
                <w:rFonts w:cs="Times New Roman"/>
              </w:rPr>
            </w:pPr>
            <w:r w:rsidRPr="00A3572A">
              <w:rPr>
                <w:rFonts w:cs="Times New Roman"/>
              </w:rPr>
              <w:t xml:space="preserve">- Liczba wydanych broszur informacyjnych – 1600 </w:t>
            </w:r>
          </w:p>
          <w:p w:rsidR="0009772E" w:rsidRPr="004D6A6B" w:rsidRDefault="0009772E" w:rsidP="001B2014">
            <w:pPr>
              <w:snapToGrid w:val="0"/>
              <w:spacing w:line="100" w:lineRule="atLeast"/>
            </w:pPr>
          </w:p>
        </w:tc>
        <w:tc>
          <w:tcPr>
            <w:tcW w:w="1843" w:type="dxa"/>
            <w:tcBorders>
              <w:bottom w:val="single" w:sz="4" w:space="0" w:color="auto"/>
            </w:tcBorders>
          </w:tcPr>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09772E" w:rsidRDefault="0009772E" w:rsidP="001B2014">
            <w:pPr>
              <w:snapToGrid w:val="0"/>
              <w:spacing w:line="100" w:lineRule="atLeast"/>
              <w:rPr>
                <w:rFonts w:cs="Times New Roman"/>
              </w:rPr>
            </w:pPr>
            <w:r w:rsidRPr="00A3572A">
              <w:rPr>
                <w:rFonts w:cs="Times New Roman"/>
              </w:rPr>
              <w:t>- Liczba odbiorców 8000</w:t>
            </w:r>
          </w:p>
          <w:p w:rsidR="0009772E" w:rsidRDefault="0009772E" w:rsidP="001B2014">
            <w:pPr>
              <w:snapToGrid w:val="0"/>
              <w:spacing w:line="100" w:lineRule="atLeast"/>
              <w:rPr>
                <w:rFonts w:cs="Times New Roman"/>
              </w:rPr>
            </w:pP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09772E" w:rsidRPr="004D6A6B" w:rsidRDefault="0009772E" w:rsidP="001B2014">
            <w:pPr>
              <w:snapToGrid w:val="0"/>
              <w:spacing w:line="100" w:lineRule="atLeast"/>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 xml:space="preserve">Przekazanie informacji o ogłoszeniu konkursu/konkursów tematycznych na wybór </w:t>
            </w:r>
            <w:r w:rsidRPr="00F00FB8">
              <w:rPr>
                <w:rFonts w:cs="Times New Roman"/>
              </w:rPr>
              <w:lastRenderedPageBreak/>
              <w:t>operacji do dofinansowania</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lastRenderedPageBreak/>
              <w:t>Kampania informacyjna nt. ogłoszonego konkursu/konkursó</w:t>
            </w:r>
            <w:r w:rsidRPr="00F00FB8">
              <w:rPr>
                <w:rFonts w:cs="Times New Roman"/>
              </w:rPr>
              <w:lastRenderedPageBreak/>
              <w:t>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 wszyscy potencjalni wnioskodawcy, w tym przedsiębiorcy, rolnicy, organizacje </w:t>
            </w:r>
            <w:r w:rsidRPr="00F00FB8">
              <w:rPr>
                <w:rFonts w:cs="Times New Roman"/>
              </w:rPr>
              <w:lastRenderedPageBreak/>
              <w:t xml:space="preserve">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rPr>
            </w:pPr>
            <w:r w:rsidRPr="00124404">
              <w:rPr>
                <w:rFonts w:cs="Times New Roman"/>
              </w:rPr>
              <w:lastRenderedPageBreak/>
              <w:t>- ogłoszenia w lokalnej prasie</w:t>
            </w:r>
          </w:p>
          <w:p w:rsidR="0009772E" w:rsidRPr="00124404" w:rsidRDefault="0009772E" w:rsidP="001B2014">
            <w:pPr>
              <w:rPr>
                <w:rFonts w:cs="Times New Roman"/>
              </w:rPr>
            </w:pPr>
            <w:r w:rsidRPr="00124404">
              <w:rPr>
                <w:rFonts w:cs="Times New Roman"/>
              </w:rPr>
              <w:t xml:space="preserve">- plakaty </w:t>
            </w:r>
          </w:p>
          <w:p w:rsidR="0009772E" w:rsidRPr="00124404" w:rsidRDefault="0009772E" w:rsidP="001B2014">
            <w:pPr>
              <w:rPr>
                <w:rFonts w:cs="Times New Roman"/>
                <w:strike/>
              </w:rPr>
            </w:pPr>
          </w:p>
        </w:tc>
        <w:tc>
          <w:tcPr>
            <w:tcW w:w="3260" w:type="dxa"/>
            <w:gridSpan w:val="2"/>
            <w:tcBorders>
              <w:bottom w:val="single" w:sz="4" w:space="0" w:color="auto"/>
            </w:tcBorders>
          </w:tcPr>
          <w:p w:rsidR="0009772E" w:rsidRPr="00124404" w:rsidRDefault="0009772E" w:rsidP="001B2014">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09772E" w:rsidRPr="00124404" w:rsidRDefault="0009772E" w:rsidP="001B2014">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3" w:type="dxa"/>
            <w:tcBorders>
              <w:bottom w:val="single" w:sz="4" w:space="0" w:color="auto"/>
            </w:tcBorders>
          </w:tcPr>
          <w:p w:rsidR="0009772E" w:rsidRPr="00124404" w:rsidRDefault="0009772E" w:rsidP="001B2014">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09772E" w:rsidRPr="00124404" w:rsidRDefault="0009772E" w:rsidP="001B2014">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09772E" w:rsidRPr="00124404"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Spotkania szkoleniowe dot. ogłoszonych konkursów</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Borders>
              <w:bottom w:val="single" w:sz="4" w:space="0" w:color="auto"/>
            </w:tcBorders>
          </w:tcPr>
          <w:p w:rsidR="0009772E" w:rsidRPr="00124404" w:rsidRDefault="0009772E" w:rsidP="001B2014">
            <w:pPr>
              <w:rPr>
                <w:rFonts w:cs="Times New Roman"/>
                <w:strike/>
              </w:rPr>
            </w:pPr>
            <w:r w:rsidRPr="00124404">
              <w:rPr>
                <w:rFonts w:cs="Times New Roman"/>
              </w:rPr>
              <w:t xml:space="preserve">- spotkania szkoleniowe </w:t>
            </w:r>
          </w:p>
          <w:p w:rsidR="0009772E" w:rsidRPr="00124404" w:rsidRDefault="0009772E" w:rsidP="001B2014">
            <w:pPr>
              <w:rPr>
                <w:rFonts w:cs="Times New Roman"/>
              </w:rPr>
            </w:pPr>
            <w:r w:rsidRPr="00124404">
              <w:rPr>
                <w:rFonts w:cs="Times New Roman"/>
              </w:rPr>
              <w:t>- spotkania informacyjno-konsultacyjne</w:t>
            </w:r>
          </w:p>
        </w:tc>
        <w:tc>
          <w:tcPr>
            <w:tcW w:w="3260" w:type="dxa"/>
            <w:gridSpan w:val="2"/>
            <w:tcBorders>
              <w:bottom w:val="single" w:sz="4" w:space="0" w:color="auto"/>
            </w:tcBorders>
          </w:tcPr>
          <w:p w:rsidR="0009772E" w:rsidRPr="00124404" w:rsidRDefault="0009772E" w:rsidP="001B2014">
            <w:pPr>
              <w:spacing w:line="100" w:lineRule="atLeast"/>
              <w:rPr>
                <w:rFonts w:ascii="Calibri" w:eastAsia="Calibri" w:hAnsi="Calibri" w:cs="Times New Roman"/>
              </w:rPr>
            </w:pPr>
            <w:r w:rsidRPr="00124404">
              <w:rPr>
                <w:rFonts w:cs="Times New Roman"/>
              </w:rPr>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09772E" w:rsidRPr="00124404" w:rsidRDefault="0009772E" w:rsidP="001B2014">
            <w:pPr>
              <w:rPr>
                <w:rFonts w:cs="Times New Roman"/>
              </w:rPr>
            </w:pPr>
            <w:r w:rsidRPr="00124404">
              <w:rPr>
                <w:rFonts w:cs="Times New Roman"/>
              </w:rPr>
              <w:t>- Liczba spotkań informacyjno-konsultacyjnych</w:t>
            </w:r>
            <w:r>
              <w:rPr>
                <w:rFonts w:cs="Times New Roman"/>
              </w:rPr>
              <w:t>**</w:t>
            </w:r>
            <w:r w:rsidRPr="00124404">
              <w:rPr>
                <w:rFonts w:cs="Times New Roman"/>
              </w:rPr>
              <w:t xml:space="preserve"> – 2</w:t>
            </w:r>
          </w:p>
        </w:tc>
        <w:tc>
          <w:tcPr>
            <w:tcW w:w="1843" w:type="dxa"/>
            <w:tcBorders>
              <w:bottom w:val="single" w:sz="4" w:space="0" w:color="auto"/>
            </w:tcBorders>
          </w:tcPr>
          <w:p w:rsidR="0009772E" w:rsidRPr="00124404" w:rsidRDefault="0009772E" w:rsidP="001B2014">
            <w:pPr>
              <w:snapToGrid w:val="0"/>
              <w:spacing w:line="100" w:lineRule="atLeast"/>
              <w:rPr>
                <w:rFonts w:ascii="Calibri" w:eastAsia="DejaVuSans" w:hAnsi="Calibri" w:cs="Calibri"/>
              </w:rPr>
            </w:pPr>
            <w:r w:rsidRPr="00124404">
              <w:rPr>
                <w:rFonts w:cs="Times New Roman"/>
              </w:rPr>
              <w:t xml:space="preserve">- </w:t>
            </w:r>
            <w:r w:rsidRPr="00124404">
              <w:rPr>
                <w:rFonts w:ascii="Calibri" w:eastAsia="Calibri" w:hAnsi="Calibri" w:cs="Times New Roman"/>
              </w:rPr>
              <w:t>Liczba odbiorców 45</w:t>
            </w:r>
          </w:p>
          <w:p w:rsidR="0009772E" w:rsidRPr="00124404" w:rsidRDefault="0009772E" w:rsidP="001B2014">
            <w:pPr>
              <w:snapToGrid w:val="0"/>
              <w:spacing w:line="100" w:lineRule="atLeast"/>
              <w:rPr>
                <w:rFonts w:ascii="Calibri" w:eastAsia="DejaVuSans" w:hAnsi="Calibri" w:cs="Calibri"/>
              </w:rPr>
            </w:pPr>
            <w:r w:rsidRPr="00124404">
              <w:rPr>
                <w:rFonts w:ascii="Calibri" w:eastAsia="Calibri" w:hAnsi="Calibri" w:cs="Calibri"/>
              </w:rPr>
              <w:t>- Liczba odbiorców 50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sidRPr="00F00FB8">
              <w:rPr>
                <w:rFonts w:cs="Times New Roman"/>
              </w:rPr>
              <w:t>. 2019</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przygotowywania wniosków o przyznanie pomocy</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ankiety elektroniczne rozsyłane do wnioskodawców</w:t>
            </w:r>
          </w:p>
          <w:p w:rsidR="0009772E" w:rsidRPr="00A3572A" w:rsidRDefault="0009772E" w:rsidP="001B2014">
            <w:pPr>
              <w:rPr>
                <w:rFonts w:cs="Times New Roman"/>
              </w:rPr>
            </w:pPr>
            <w:r w:rsidRPr="00A3572A">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w:t>
            </w:r>
            <w:proofErr w:type="spellStart"/>
            <w:r w:rsidRPr="00A3572A">
              <w:rPr>
                <w:rFonts w:ascii="Calibri" w:eastAsia="Calibri" w:hAnsi="Calibri" w:cs="Times New Roman"/>
              </w:rPr>
              <w:t>on-line</w:t>
            </w:r>
            <w:proofErr w:type="spellEnd"/>
            <w:r w:rsidRPr="00A3572A">
              <w:rPr>
                <w:rFonts w:ascii="Calibri" w:eastAsia="Calibri" w:hAnsi="Calibri" w:cs="Times New Roman"/>
              </w:rPr>
              <w:t xml:space="preserv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09772E" w:rsidRPr="00F00FB8" w:rsidTr="001B2014">
        <w:tc>
          <w:tcPr>
            <w:tcW w:w="15310" w:type="dxa"/>
            <w:gridSpan w:val="9"/>
            <w:shd w:val="clear" w:color="auto" w:fill="0070C0"/>
          </w:tcPr>
          <w:p w:rsidR="0009772E" w:rsidRPr="00146A7C" w:rsidRDefault="0009772E" w:rsidP="001B2014">
            <w:pPr>
              <w:jc w:val="center"/>
              <w:rPr>
                <w:rFonts w:cs="Times New Roman"/>
                <w:b/>
                <w:color w:val="FF0000"/>
                <w:sz w:val="28"/>
                <w:szCs w:val="28"/>
              </w:rPr>
            </w:pPr>
            <w:r w:rsidRPr="00EA44A8">
              <w:rPr>
                <w:rFonts w:cs="Times New Roman"/>
                <w:b/>
                <w:color w:val="FFFFFF" w:themeColor="background1"/>
                <w:sz w:val="28"/>
                <w:szCs w:val="28"/>
              </w:rPr>
              <w:t>2020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867FB2" w:rsidRDefault="0009772E" w:rsidP="001B2014">
            <w:pPr>
              <w:rPr>
                <w:rFonts w:cs="Times New Roman"/>
              </w:rPr>
            </w:pPr>
            <w:r w:rsidRPr="00867FB2">
              <w:rPr>
                <w:rFonts w:cs="Times New Roman"/>
              </w:rPr>
              <w:t xml:space="preserve">Aktywizacja mieszkańców, w tym przedstawicieli grup wykluczonych i </w:t>
            </w:r>
            <w:proofErr w:type="spellStart"/>
            <w:r w:rsidRPr="00867FB2">
              <w:rPr>
                <w:rFonts w:cs="Times New Roman"/>
              </w:rPr>
              <w:t>defaworyzowanych</w:t>
            </w:r>
            <w:proofErr w:type="spellEnd"/>
            <w:r w:rsidRPr="00867FB2">
              <w:rPr>
                <w:rFonts w:cs="Times New Roman"/>
              </w:rPr>
              <w:t xml:space="preserve"> ze </w:t>
            </w:r>
            <w:r w:rsidRPr="00867FB2">
              <w:rPr>
                <w:rFonts w:cs="Times New Roman"/>
              </w:rPr>
              <w:lastRenderedPageBreak/>
              <w:t>względu na dostęp do rynku pracy poprzez wsparcie w procesie pozyskiwania dotacji oraz zachętę do udziału w projektach grantowych</w:t>
            </w:r>
          </w:p>
        </w:tc>
        <w:tc>
          <w:tcPr>
            <w:tcW w:w="1985" w:type="dxa"/>
            <w:gridSpan w:val="2"/>
          </w:tcPr>
          <w:p w:rsidR="0009772E" w:rsidRPr="00867FB2" w:rsidRDefault="0009772E" w:rsidP="001B2014">
            <w:pPr>
              <w:rPr>
                <w:rFonts w:cs="Times New Roman"/>
              </w:rPr>
            </w:pPr>
            <w:r w:rsidRPr="00867FB2">
              <w:rPr>
                <w:rFonts w:cs="Times New Roman"/>
              </w:rPr>
              <w:lastRenderedPageBreak/>
              <w:t>Kampania informacyjna nt. głównych założeń LSR na lata 2014-2020</w:t>
            </w:r>
          </w:p>
        </w:tc>
        <w:tc>
          <w:tcPr>
            <w:tcW w:w="2126" w:type="dxa"/>
          </w:tcPr>
          <w:p w:rsidR="0009772E" w:rsidRPr="00867FB2" w:rsidRDefault="0009772E" w:rsidP="001B2014">
            <w:pPr>
              <w:rPr>
                <w:rFonts w:cs="Times New Roman"/>
              </w:rPr>
            </w:pPr>
            <w:r w:rsidRPr="00867FB2">
              <w:rPr>
                <w:rFonts w:cs="Times New Roman"/>
              </w:rPr>
              <w:t xml:space="preserve">- mieszkańcy, w tym przedstawiciele grup </w:t>
            </w:r>
            <w:proofErr w:type="spellStart"/>
            <w:r w:rsidRPr="00867FB2">
              <w:rPr>
                <w:rFonts w:cs="Times New Roman"/>
              </w:rPr>
              <w:t>defaworyzowanych</w:t>
            </w:r>
            <w:proofErr w:type="spellEnd"/>
            <w:r w:rsidRPr="00867FB2">
              <w:rPr>
                <w:rFonts w:cs="Times New Roman"/>
              </w:rPr>
              <w:t xml:space="preserve"> oraz osoby zagrożone </w:t>
            </w:r>
            <w:r w:rsidRPr="00867FB2">
              <w:rPr>
                <w:rFonts w:cs="Times New Roman"/>
              </w:rPr>
              <w:lastRenderedPageBreak/>
              <w:t>wykluczeniem społecznym</w:t>
            </w:r>
          </w:p>
        </w:tc>
        <w:tc>
          <w:tcPr>
            <w:tcW w:w="2835" w:type="dxa"/>
          </w:tcPr>
          <w:p w:rsidR="0009772E" w:rsidRPr="00A3572A" w:rsidRDefault="0009772E" w:rsidP="001B2014">
            <w:pPr>
              <w:rPr>
                <w:rFonts w:cs="Times New Roman"/>
              </w:rPr>
            </w:pPr>
            <w:r w:rsidRPr="00A3572A">
              <w:rPr>
                <w:rFonts w:cs="Times New Roman"/>
              </w:rPr>
              <w:lastRenderedPageBreak/>
              <w:t xml:space="preserve">- ulotki i broszury rozdawane w siedzibach instytucji: Powiatowy Urząd Pracy, miejskie i gminne ośrodki pomocy społecznej i inne </w:t>
            </w:r>
            <w:r w:rsidRPr="00A3572A">
              <w:rPr>
                <w:rFonts w:cs="Times New Roman"/>
              </w:rPr>
              <w:lastRenderedPageBreak/>
              <w:t>ośrodki i instytucje związane z usługami społecznymi, ODR</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folder „Dobre praktyki”</w:t>
            </w:r>
          </w:p>
        </w:tc>
        <w:tc>
          <w:tcPr>
            <w:tcW w:w="3260" w:type="dxa"/>
            <w:gridSpan w:val="2"/>
          </w:tcPr>
          <w:p w:rsidR="0009772E" w:rsidRPr="00A3572A" w:rsidRDefault="0009772E" w:rsidP="001B2014">
            <w:pPr>
              <w:rPr>
                <w:rFonts w:ascii="Calibri" w:hAnsi="Calibri" w:cs="Calibri"/>
              </w:rPr>
            </w:pPr>
            <w:r w:rsidRPr="00A3572A">
              <w:rPr>
                <w:rFonts w:ascii="Calibri" w:hAnsi="Calibri" w:cs="Calibri"/>
              </w:rPr>
              <w:lastRenderedPageBreak/>
              <w:t>- Liczba wydanych broszur informacyjnych – 1600</w:t>
            </w:r>
          </w:p>
          <w:p w:rsidR="0009772E" w:rsidRPr="00A3572A" w:rsidRDefault="0009772E" w:rsidP="001B2014">
            <w:pPr>
              <w:rPr>
                <w:rFonts w:ascii="Calibri" w:hAnsi="Calibri" w:cs="Calibri"/>
              </w:rPr>
            </w:pPr>
            <w:r w:rsidRPr="00A3572A">
              <w:rPr>
                <w:rFonts w:ascii="Calibri" w:hAnsi="Calibri" w:cs="Calibri"/>
              </w:rPr>
              <w:t>- Liczba wydanych ulotek – 400</w:t>
            </w:r>
          </w:p>
          <w:p w:rsidR="0009772E" w:rsidRPr="00A3572A" w:rsidRDefault="0009772E" w:rsidP="001B2014">
            <w:pPr>
              <w:rPr>
                <w:rFonts w:ascii="Calibri" w:hAnsi="Calibri" w:cs="Calibri"/>
              </w:rPr>
            </w:pPr>
          </w:p>
          <w:p w:rsidR="0009772E" w:rsidRPr="00A3572A" w:rsidRDefault="0009772E" w:rsidP="001B2014">
            <w:pPr>
              <w:rPr>
                <w:rFonts w:cs="Times New Roman"/>
              </w:rPr>
            </w:pPr>
            <w:r w:rsidRPr="00A3572A">
              <w:rPr>
                <w:rFonts w:cs="Times New Roman"/>
              </w:rPr>
              <w:t>- Liczba spotkań informacyjno-</w:t>
            </w:r>
            <w:r w:rsidRPr="00A3572A">
              <w:rPr>
                <w:rFonts w:cs="Times New Roman"/>
              </w:rPr>
              <w:lastRenderedPageBreak/>
              <w:t>konsultacyjnych</w:t>
            </w:r>
            <w:r>
              <w:rPr>
                <w:rFonts w:cs="Times New Roman"/>
              </w:rPr>
              <w:t>**</w:t>
            </w:r>
            <w:r w:rsidRPr="00A3572A">
              <w:rPr>
                <w:rFonts w:cs="Times New Roman"/>
              </w:rPr>
              <w:t xml:space="preserve"> – 2</w:t>
            </w:r>
          </w:p>
          <w:p w:rsidR="0009772E" w:rsidRPr="00A3572A" w:rsidRDefault="0009772E" w:rsidP="001B2014">
            <w:pPr>
              <w:rPr>
                <w:rFonts w:cs="Times New Roman"/>
              </w:rPr>
            </w:pPr>
            <w:r w:rsidRPr="00A3572A">
              <w:rPr>
                <w:rFonts w:cs="Times New Roman"/>
              </w:rPr>
              <w:t xml:space="preserve">- Liczba wydanych folderów „Dobre praktyki” – 2500 </w:t>
            </w:r>
          </w:p>
        </w:tc>
        <w:tc>
          <w:tcPr>
            <w:tcW w:w="1843" w:type="dxa"/>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lastRenderedPageBreak/>
              <w:t>- Liczba odbiorców 1600</w:t>
            </w:r>
          </w:p>
          <w:p w:rsidR="0009772E" w:rsidRPr="0001115C" w:rsidRDefault="0009772E" w:rsidP="001B2014">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09772E" w:rsidRPr="00A3572A" w:rsidRDefault="0009772E" w:rsidP="001B2014">
            <w:pPr>
              <w:rPr>
                <w:rFonts w:cs="Times New Roman"/>
              </w:rPr>
            </w:pPr>
            <w:r w:rsidRPr="00A3572A">
              <w:rPr>
                <w:rFonts w:cs="Times New Roman"/>
              </w:rPr>
              <w:t xml:space="preserve">- Liczba </w:t>
            </w:r>
            <w:r w:rsidRPr="00A3572A">
              <w:rPr>
                <w:rFonts w:cs="Times New Roman"/>
              </w:rPr>
              <w:lastRenderedPageBreak/>
              <w:t>odbiorców 50</w:t>
            </w:r>
          </w:p>
          <w:p w:rsidR="0009772E" w:rsidRPr="00A3572A" w:rsidRDefault="0009772E" w:rsidP="001B2014">
            <w:pPr>
              <w:rPr>
                <w:rFonts w:cs="Times New Roman"/>
              </w:rPr>
            </w:pPr>
            <w:r w:rsidRPr="00A3572A">
              <w:rPr>
                <w:rFonts w:cs="Times New Roman"/>
              </w:rPr>
              <w:t>- Liczba odbiorców 2500</w:t>
            </w:r>
          </w:p>
        </w:tc>
      </w:tr>
      <w:tr w:rsidR="0009772E" w:rsidRPr="00F00FB8" w:rsidTr="001B2014">
        <w:tc>
          <w:tcPr>
            <w:tcW w:w="710" w:type="dxa"/>
          </w:tcPr>
          <w:p w:rsidR="0009772E" w:rsidRPr="00F00FB8" w:rsidRDefault="0009772E" w:rsidP="001B2014">
            <w:pPr>
              <w:rPr>
                <w:rFonts w:cs="Times New Roman"/>
              </w:rPr>
            </w:pPr>
            <w:r w:rsidRPr="00F00FB8">
              <w:rPr>
                <w:rFonts w:cs="Times New Roman"/>
              </w:rPr>
              <w:lastRenderedPageBreak/>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F00FB8" w:rsidRDefault="0009772E" w:rsidP="001B2014">
            <w:pPr>
              <w:rPr>
                <w:rFonts w:cs="Times New Roman"/>
              </w:rPr>
            </w:pPr>
            <w:r w:rsidRPr="00F00FB8">
              <w:rPr>
                <w:rFonts w:cs="Times New Roman"/>
              </w:rPr>
              <w:t>Przekazanie informacji o ogłoszeniu konkursu/konkursów tematycznych na wybór operacji do dofinansowania</w:t>
            </w:r>
          </w:p>
        </w:tc>
        <w:tc>
          <w:tcPr>
            <w:tcW w:w="1985" w:type="dxa"/>
            <w:gridSpan w:val="2"/>
          </w:tcPr>
          <w:p w:rsidR="0009772E" w:rsidRPr="00F00FB8" w:rsidRDefault="0009772E" w:rsidP="001B2014">
            <w:pPr>
              <w:rPr>
                <w:rFonts w:cs="Times New Roman"/>
              </w:rPr>
            </w:pPr>
            <w:r w:rsidRPr="00F00FB8">
              <w:rPr>
                <w:rFonts w:cs="Times New Roman"/>
              </w:rPr>
              <w:t>Kampania informacyjna nt. ogłoszonego konkursu/konkursów</w:t>
            </w:r>
          </w:p>
        </w:tc>
        <w:tc>
          <w:tcPr>
            <w:tcW w:w="2126" w:type="dxa"/>
          </w:tcPr>
          <w:p w:rsidR="0009772E" w:rsidRPr="00F00FB8" w:rsidRDefault="0009772E" w:rsidP="001B2014">
            <w:pPr>
              <w:rPr>
                <w:rFonts w:cs="Times New Roman"/>
              </w:rPr>
            </w:pPr>
            <w:r w:rsidRPr="00F00FB8">
              <w:rPr>
                <w:rFonts w:cs="Times New Roman"/>
              </w:rPr>
              <w:t xml:space="preserve">- wszyscy potencjalni wnioskodawcy, w tym przedsiębiorcy, rolnicy, organizacje pozarządowe i pozostali mieszkańcy obszaru, w tym przedstawiciele grup </w:t>
            </w:r>
            <w:proofErr w:type="spellStart"/>
            <w:r w:rsidRPr="00F00FB8">
              <w:rPr>
                <w:rFonts w:cs="Times New Roman"/>
              </w:rPr>
              <w:t>defaworyzowanych</w:t>
            </w:r>
            <w:proofErr w:type="spellEnd"/>
            <w:r w:rsidRPr="00F00FB8">
              <w:rPr>
                <w:rFonts w:cs="Times New Roman"/>
              </w:rPr>
              <w:t xml:space="preserve"> </w:t>
            </w:r>
          </w:p>
        </w:tc>
        <w:tc>
          <w:tcPr>
            <w:tcW w:w="2835" w:type="dxa"/>
          </w:tcPr>
          <w:p w:rsidR="0009772E" w:rsidRPr="002E56F8" w:rsidRDefault="0009772E" w:rsidP="001B2014">
            <w:pPr>
              <w:rPr>
                <w:rFonts w:cs="Times New Roman"/>
              </w:rPr>
            </w:pPr>
            <w:r w:rsidRPr="002E56F8">
              <w:rPr>
                <w:rFonts w:cs="Times New Roman"/>
              </w:rPr>
              <w:t>- ogłoszenia w lokalnej prasie/artykuły sponsorowane</w:t>
            </w:r>
          </w:p>
          <w:p w:rsidR="0009772E" w:rsidRPr="002E56F8" w:rsidRDefault="0009772E" w:rsidP="001B2014">
            <w:pPr>
              <w:rPr>
                <w:rFonts w:cs="Times New Roman"/>
              </w:rPr>
            </w:pPr>
            <w:r>
              <w:rPr>
                <w:rFonts w:cs="Times New Roman"/>
              </w:rPr>
              <w:t>- plakaty</w:t>
            </w:r>
          </w:p>
          <w:p w:rsidR="0009772E" w:rsidRPr="002E56F8" w:rsidRDefault="0009772E" w:rsidP="001B2014">
            <w:pPr>
              <w:rPr>
                <w:rFonts w:cs="Times New Roman"/>
              </w:rPr>
            </w:pPr>
          </w:p>
        </w:tc>
        <w:tc>
          <w:tcPr>
            <w:tcW w:w="3260" w:type="dxa"/>
            <w:gridSpan w:val="2"/>
          </w:tcPr>
          <w:p w:rsidR="0009772E" w:rsidRPr="002E56F8" w:rsidRDefault="0009772E" w:rsidP="001B2014">
            <w:pPr>
              <w:rPr>
                <w:rFonts w:ascii="Calibri" w:hAnsi="Calibri" w:cs="Calibri"/>
              </w:rPr>
            </w:pPr>
            <w:r w:rsidRPr="002E56F8">
              <w:rPr>
                <w:rFonts w:ascii="Calibri" w:hAnsi="Calibri" w:cs="Calibri"/>
              </w:rPr>
              <w:t>- Liczba ogłoszeń w lokalnej prasie – 2</w:t>
            </w:r>
          </w:p>
          <w:p w:rsidR="0009772E" w:rsidRPr="002E56F8" w:rsidRDefault="0009772E" w:rsidP="001B2014">
            <w:pPr>
              <w:rPr>
                <w:rFonts w:ascii="Calibri" w:hAnsi="Calibri" w:cs="Calibri"/>
              </w:rPr>
            </w:pPr>
            <w:r w:rsidRPr="002E56F8">
              <w:rPr>
                <w:rFonts w:ascii="Calibri" w:hAnsi="Calibri" w:cs="Calibri"/>
              </w:rPr>
              <w:t xml:space="preserve">- Liczba artykułów sponsorowanych w lokalnej prasie – 2 </w:t>
            </w:r>
          </w:p>
          <w:p w:rsidR="0009772E" w:rsidRPr="002E56F8" w:rsidRDefault="0009772E" w:rsidP="001B2014">
            <w:pPr>
              <w:rPr>
                <w:rFonts w:cs="Times New Roman"/>
              </w:rPr>
            </w:pPr>
            <w:r w:rsidRPr="002E56F8">
              <w:rPr>
                <w:rFonts w:ascii="Calibri" w:hAnsi="Calibri" w:cs="Calibri"/>
              </w:rPr>
              <w:t>- Liczba wydrukowanych plakatów ogłoszeniowych – 350</w:t>
            </w:r>
          </w:p>
        </w:tc>
        <w:tc>
          <w:tcPr>
            <w:tcW w:w="1843" w:type="dxa"/>
          </w:tcPr>
          <w:p w:rsidR="0009772E" w:rsidRPr="002E56F8" w:rsidRDefault="0009772E" w:rsidP="001B2014">
            <w:pPr>
              <w:snapToGrid w:val="0"/>
              <w:spacing w:line="100" w:lineRule="atLeast"/>
              <w:rPr>
                <w:rFonts w:ascii="Calibri" w:eastAsia="DejaVuSans" w:hAnsi="Calibri" w:cs="Calibri"/>
              </w:rPr>
            </w:pPr>
            <w:r w:rsidRPr="002E56F8">
              <w:rPr>
                <w:rFonts w:ascii="Calibri" w:hAnsi="Calibri" w:cs="Calibri"/>
              </w:rPr>
              <w:t>- Liczba odbiorców 8000</w:t>
            </w:r>
          </w:p>
          <w:p w:rsidR="0009772E" w:rsidRPr="002E56F8" w:rsidRDefault="0009772E" w:rsidP="001B2014">
            <w:pPr>
              <w:snapToGrid w:val="0"/>
              <w:spacing w:line="100" w:lineRule="atLeast"/>
              <w:rPr>
                <w:rFonts w:ascii="Calibri" w:hAnsi="Calibri" w:cs="Calibri"/>
              </w:rPr>
            </w:pPr>
            <w:r w:rsidRPr="002E56F8">
              <w:rPr>
                <w:rFonts w:ascii="Calibri" w:hAnsi="Calibri" w:cs="Calibri"/>
              </w:rPr>
              <w:t>- Liczba odbiorców 8000</w:t>
            </w:r>
          </w:p>
          <w:p w:rsidR="0009772E" w:rsidRPr="002E56F8" w:rsidRDefault="0009772E" w:rsidP="001B2014">
            <w:pPr>
              <w:snapToGrid w:val="0"/>
              <w:spacing w:line="100" w:lineRule="atLeast"/>
              <w:rPr>
                <w:rFonts w:ascii="Calibri" w:hAnsi="Calibri" w:cs="Calibri"/>
              </w:rPr>
            </w:pPr>
          </w:p>
          <w:p w:rsidR="0009772E" w:rsidRPr="002E56F8" w:rsidRDefault="0009772E" w:rsidP="001B2014">
            <w:pPr>
              <w:snapToGrid w:val="0"/>
              <w:spacing w:line="100" w:lineRule="atLeast"/>
              <w:rPr>
                <w:rFonts w:ascii="Calibri" w:hAnsi="Calibri" w:cs="Calibri"/>
              </w:rPr>
            </w:pPr>
            <w:r w:rsidRPr="002E56F8">
              <w:rPr>
                <w:rFonts w:ascii="Calibri" w:hAnsi="Calibri" w:cs="Calibri"/>
              </w:rPr>
              <w:t xml:space="preserve">- Liczba odbiorców </w:t>
            </w:r>
          </w:p>
          <w:p w:rsidR="0009772E" w:rsidRPr="002E56F8" w:rsidRDefault="0009772E" w:rsidP="001B2014">
            <w:pPr>
              <w:snapToGrid w:val="0"/>
              <w:spacing w:line="100" w:lineRule="atLeast"/>
              <w:rPr>
                <w:rFonts w:ascii="Calibri" w:eastAsia="DejaVuSans" w:hAnsi="Calibri" w:cs="Calibri"/>
              </w:rPr>
            </w:pPr>
            <w:r w:rsidRPr="002E56F8">
              <w:rPr>
                <w:rFonts w:ascii="Calibri" w:hAnsi="Calibri" w:cs="Calibri"/>
              </w:rPr>
              <w:t>10500</w:t>
            </w:r>
          </w:p>
          <w:p w:rsidR="0009772E" w:rsidRPr="002E56F8" w:rsidRDefault="0009772E" w:rsidP="001B2014">
            <w:pPr>
              <w:rPr>
                <w:rFonts w:cs="Times New Roman"/>
              </w:rPr>
            </w:pPr>
          </w:p>
        </w:tc>
      </w:tr>
      <w:tr w:rsidR="0009772E" w:rsidRPr="00F00FB8" w:rsidTr="001B2014">
        <w:tc>
          <w:tcPr>
            <w:tcW w:w="710" w:type="dxa"/>
          </w:tcPr>
          <w:p w:rsidR="0009772E" w:rsidRPr="00F00FB8" w:rsidRDefault="0009772E" w:rsidP="001B2014">
            <w:pPr>
              <w:rPr>
                <w:rFonts w:cs="Times New Roman"/>
              </w:rPr>
            </w:pPr>
            <w:r w:rsidRPr="00F00FB8">
              <w:rPr>
                <w:rFonts w:cs="Times New Roman"/>
              </w:rPr>
              <w:t xml:space="preserve">I </w:t>
            </w:r>
            <w:proofErr w:type="spellStart"/>
            <w:r w:rsidRPr="00F00FB8">
              <w:rPr>
                <w:rFonts w:cs="Times New Roman"/>
              </w:rPr>
              <w:t>poł</w:t>
            </w:r>
            <w:proofErr w:type="spellEnd"/>
            <w:r w:rsidRPr="00F00FB8">
              <w:rPr>
                <w:rFonts w:cs="Times New Roman"/>
              </w:rPr>
              <w:t>. 2020</w:t>
            </w:r>
          </w:p>
        </w:tc>
        <w:tc>
          <w:tcPr>
            <w:tcW w:w="2551" w:type="dxa"/>
          </w:tcPr>
          <w:p w:rsidR="0009772E" w:rsidRPr="00F00FB8" w:rsidRDefault="0009772E" w:rsidP="001B2014">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5" w:type="dxa"/>
            <w:gridSpan w:val="2"/>
          </w:tcPr>
          <w:p w:rsidR="0009772E" w:rsidRPr="0089337D" w:rsidRDefault="0009772E" w:rsidP="001B2014">
            <w:pPr>
              <w:rPr>
                <w:rFonts w:cs="Times New Roman"/>
              </w:rPr>
            </w:pPr>
            <w:r w:rsidRPr="0089337D">
              <w:rPr>
                <w:rFonts w:cs="Times New Roman"/>
              </w:rPr>
              <w:t>Spotkania szkoleniowe dot. ogłoszonych konkursów oraz imprezy / wydarzenia promujące</w:t>
            </w:r>
          </w:p>
        </w:tc>
        <w:tc>
          <w:tcPr>
            <w:tcW w:w="2126" w:type="dxa"/>
          </w:tcPr>
          <w:p w:rsidR="0009772E" w:rsidRPr="0089337D" w:rsidRDefault="0009772E" w:rsidP="001B2014">
            <w:pPr>
              <w:rPr>
                <w:rFonts w:cs="Times New Roman"/>
              </w:rPr>
            </w:pPr>
            <w:r w:rsidRPr="0089337D">
              <w:rPr>
                <w:rFonts w:cs="Times New Roman"/>
              </w:rPr>
              <w:t xml:space="preserve">- wszyscy potencjalni wnioskodawcy, w tym przedsiębiorcy, rolnicy, organizacje pozarządowe i pozostali mieszkańcy obszaru, w tym przedstawiciele grup </w:t>
            </w:r>
            <w:proofErr w:type="spellStart"/>
            <w:r w:rsidRPr="0089337D">
              <w:rPr>
                <w:rFonts w:cs="Times New Roman"/>
              </w:rPr>
              <w:t>defaworyzowanych</w:t>
            </w:r>
            <w:proofErr w:type="spellEnd"/>
            <w:r w:rsidRPr="0089337D">
              <w:rPr>
                <w:rFonts w:cs="Times New Roman"/>
              </w:rPr>
              <w:t xml:space="preserve"> </w:t>
            </w:r>
          </w:p>
        </w:tc>
        <w:tc>
          <w:tcPr>
            <w:tcW w:w="2835" w:type="dxa"/>
          </w:tcPr>
          <w:p w:rsidR="0009772E" w:rsidRPr="0089337D" w:rsidRDefault="0009772E" w:rsidP="001B2014">
            <w:pPr>
              <w:rPr>
                <w:rFonts w:cs="Times New Roman"/>
              </w:rPr>
            </w:pPr>
            <w:r w:rsidRPr="0089337D">
              <w:rPr>
                <w:rFonts w:cs="Times New Roman"/>
              </w:rPr>
              <w:t>- ogłoszenia w lokalnej prasie</w:t>
            </w:r>
          </w:p>
          <w:p w:rsidR="0009772E" w:rsidRPr="0089337D" w:rsidRDefault="0009772E" w:rsidP="001B2014">
            <w:pPr>
              <w:rPr>
                <w:rFonts w:cs="Times New Roman"/>
              </w:rPr>
            </w:pPr>
            <w:r w:rsidRPr="0089337D">
              <w:rPr>
                <w:rFonts w:cs="Times New Roman"/>
              </w:rPr>
              <w:t>- spotkania szkoleniowe</w:t>
            </w:r>
          </w:p>
          <w:p w:rsidR="0009772E" w:rsidRPr="0089337D" w:rsidRDefault="0009772E" w:rsidP="001B2014">
            <w:pPr>
              <w:rPr>
                <w:rFonts w:cs="Times New Roman"/>
              </w:rPr>
            </w:pPr>
            <w:r w:rsidRPr="0089337D">
              <w:rPr>
                <w:rFonts w:cs="Times New Roman"/>
              </w:rPr>
              <w:t>- broszura informacyjna</w:t>
            </w:r>
          </w:p>
          <w:p w:rsidR="0009772E" w:rsidRPr="0089337D" w:rsidRDefault="0009772E" w:rsidP="001B2014">
            <w:pPr>
              <w:rPr>
                <w:rFonts w:cs="Times New Roman"/>
              </w:rPr>
            </w:pPr>
            <w:r w:rsidRPr="0089337D">
              <w:rPr>
                <w:rFonts w:cs="Times New Roman"/>
              </w:rPr>
              <w:t>- impreza promocyjna</w:t>
            </w:r>
          </w:p>
          <w:p w:rsidR="0009772E" w:rsidRPr="0089337D" w:rsidRDefault="0009772E" w:rsidP="001B2014">
            <w:pPr>
              <w:rPr>
                <w:rFonts w:cs="Times New Roman"/>
              </w:rPr>
            </w:pPr>
            <w:r w:rsidRPr="0089337D">
              <w:rPr>
                <w:rFonts w:cs="Times New Roman"/>
              </w:rPr>
              <w:t>- działania promujące LSR</w:t>
            </w:r>
          </w:p>
        </w:tc>
        <w:tc>
          <w:tcPr>
            <w:tcW w:w="3260" w:type="dxa"/>
            <w:gridSpan w:val="2"/>
          </w:tcPr>
          <w:p w:rsidR="0009772E" w:rsidRPr="0089337D" w:rsidRDefault="0009772E" w:rsidP="001B2014">
            <w:pPr>
              <w:rPr>
                <w:rFonts w:ascii="Calibri" w:hAnsi="Calibri" w:cs="Calibri"/>
              </w:rPr>
            </w:pPr>
            <w:r w:rsidRPr="0089337D">
              <w:rPr>
                <w:rFonts w:ascii="Calibri" w:hAnsi="Calibri" w:cs="Calibri"/>
              </w:rPr>
              <w:t>- Liczba ogłoszeń w lokalnej prasie – 3</w:t>
            </w:r>
          </w:p>
          <w:p w:rsidR="0009772E" w:rsidRPr="0089337D" w:rsidRDefault="0009772E" w:rsidP="001B2014">
            <w:pPr>
              <w:spacing w:line="100" w:lineRule="atLeast"/>
              <w:rPr>
                <w:rFonts w:ascii="Calibri" w:hAnsi="Calibri" w:cs="Calibri"/>
              </w:rPr>
            </w:pPr>
            <w:r w:rsidRPr="0089337D">
              <w:rPr>
                <w:rFonts w:ascii="Calibri" w:hAnsi="Calibri" w:cs="Calibri"/>
              </w:rPr>
              <w:t>- Liczba zorganizowanych spotkań (szkoleń)</w:t>
            </w:r>
            <w:r>
              <w:rPr>
                <w:rFonts w:ascii="Calibri" w:hAnsi="Calibri" w:cs="Calibri"/>
              </w:rPr>
              <w:t>**</w:t>
            </w:r>
            <w:r w:rsidRPr="0089337D">
              <w:rPr>
                <w:rFonts w:ascii="Calibri" w:hAnsi="Calibri" w:cs="Calibri"/>
              </w:rPr>
              <w:t xml:space="preserve"> – 3</w:t>
            </w:r>
          </w:p>
          <w:p w:rsidR="0009772E" w:rsidRPr="0089337D" w:rsidRDefault="0009772E" w:rsidP="001B2014">
            <w:pPr>
              <w:rPr>
                <w:rFonts w:ascii="Calibri" w:hAnsi="Calibri" w:cs="Calibri"/>
              </w:rPr>
            </w:pPr>
            <w:r w:rsidRPr="0089337D">
              <w:rPr>
                <w:rFonts w:ascii="Calibri" w:hAnsi="Calibri" w:cs="Calibri"/>
              </w:rPr>
              <w:t>- Liczba wydanych broszur informacyjnych – 1600</w:t>
            </w:r>
          </w:p>
          <w:p w:rsidR="0009772E" w:rsidRPr="0089337D" w:rsidRDefault="0009772E" w:rsidP="001B2014">
            <w:pPr>
              <w:spacing w:line="100" w:lineRule="atLeast"/>
              <w:rPr>
                <w:rFonts w:ascii="Calibri" w:hAnsi="Calibri" w:cs="Calibri"/>
              </w:rPr>
            </w:pPr>
            <w:r w:rsidRPr="0089337D">
              <w:rPr>
                <w:rFonts w:ascii="Calibri" w:hAnsi="Calibri" w:cs="Calibri"/>
              </w:rPr>
              <w:t>- Liczba zorganizowanych imprez promocyjnych</w:t>
            </w:r>
            <w:r>
              <w:rPr>
                <w:rFonts w:ascii="Calibri" w:hAnsi="Calibri" w:cs="Calibri"/>
              </w:rPr>
              <w:t>*</w:t>
            </w:r>
            <w:r w:rsidRPr="0089337D">
              <w:rPr>
                <w:rFonts w:ascii="Calibri" w:hAnsi="Calibri" w:cs="Calibri"/>
              </w:rPr>
              <w:t xml:space="preserve"> – 1 </w:t>
            </w:r>
          </w:p>
          <w:p w:rsidR="0009772E" w:rsidRPr="0089337D" w:rsidRDefault="0009772E" w:rsidP="001B2014">
            <w:pPr>
              <w:spacing w:line="100" w:lineRule="atLeast"/>
              <w:rPr>
                <w:rFonts w:ascii="Calibri" w:hAnsi="Calibri" w:cs="Calibri"/>
              </w:rPr>
            </w:pPr>
            <w:r w:rsidRPr="0089337D">
              <w:rPr>
                <w:rFonts w:cs="Times New Roman"/>
              </w:rPr>
              <w:t>- Liczba zorganizowanych działań promujących LSR</w:t>
            </w:r>
            <w:r>
              <w:rPr>
                <w:rFonts w:cs="Times New Roman"/>
              </w:rPr>
              <w:t>*</w:t>
            </w:r>
            <w:r w:rsidRPr="0089337D">
              <w:rPr>
                <w:rFonts w:cs="Times New Roman"/>
              </w:rPr>
              <w:t xml:space="preserve"> – 1</w:t>
            </w:r>
          </w:p>
        </w:tc>
        <w:tc>
          <w:tcPr>
            <w:tcW w:w="1843" w:type="dxa"/>
          </w:tcPr>
          <w:p w:rsidR="0009772E" w:rsidRPr="0089337D" w:rsidRDefault="0009772E" w:rsidP="001B2014">
            <w:pPr>
              <w:snapToGrid w:val="0"/>
              <w:spacing w:line="100" w:lineRule="atLeast"/>
              <w:rPr>
                <w:rFonts w:ascii="Calibri" w:hAnsi="Calibri" w:cs="Calibri"/>
              </w:rPr>
            </w:pPr>
            <w:r w:rsidRPr="0089337D">
              <w:rPr>
                <w:rFonts w:ascii="Calibri" w:hAnsi="Calibri" w:cs="Calibri"/>
              </w:rPr>
              <w:t>- Liczba odbiorców 12000</w:t>
            </w:r>
          </w:p>
          <w:p w:rsidR="0009772E" w:rsidRPr="0089337D" w:rsidRDefault="0009772E" w:rsidP="001B2014">
            <w:pPr>
              <w:snapToGrid w:val="0"/>
              <w:spacing w:line="100" w:lineRule="atLeast"/>
              <w:rPr>
                <w:rFonts w:ascii="Calibri" w:eastAsia="DejaVuSans" w:hAnsi="Calibri" w:cs="Calibri"/>
              </w:rPr>
            </w:pPr>
            <w:r w:rsidRPr="0089337D">
              <w:rPr>
                <w:rFonts w:ascii="Calibri" w:hAnsi="Calibri" w:cs="Calibri"/>
              </w:rPr>
              <w:t>- Liczba odbiorców 35</w:t>
            </w:r>
          </w:p>
          <w:p w:rsidR="0009772E" w:rsidRPr="0089337D" w:rsidRDefault="0009772E" w:rsidP="001B2014">
            <w:pPr>
              <w:snapToGrid w:val="0"/>
              <w:spacing w:line="100" w:lineRule="atLeast"/>
              <w:rPr>
                <w:rFonts w:ascii="Calibri" w:eastAsia="DejaVuSans" w:hAnsi="Calibri" w:cs="Calibri"/>
              </w:rPr>
            </w:pPr>
            <w:r w:rsidRPr="0089337D">
              <w:rPr>
                <w:rFonts w:ascii="Calibri" w:hAnsi="Calibri" w:cs="Calibri"/>
              </w:rPr>
              <w:t>- Liczba odbiorców 1600</w:t>
            </w:r>
          </w:p>
          <w:p w:rsidR="0009772E" w:rsidRPr="0089337D" w:rsidRDefault="0009772E" w:rsidP="001B2014">
            <w:pPr>
              <w:rPr>
                <w:rFonts w:cs="Times New Roman"/>
              </w:rPr>
            </w:pPr>
            <w:r w:rsidRPr="0089337D">
              <w:rPr>
                <w:rFonts w:cs="Times New Roman"/>
              </w:rPr>
              <w:t>- Liczba odbiorców 400</w:t>
            </w:r>
          </w:p>
          <w:p w:rsidR="0009772E" w:rsidRPr="0089337D" w:rsidRDefault="0009772E" w:rsidP="001B2014">
            <w:pPr>
              <w:rPr>
                <w:rFonts w:cs="Times New Roman"/>
              </w:rPr>
            </w:pPr>
            <w:r w:rsidRPr="0089337D">
              <w:rPr>
                <w:rFonts w:cs="Times New Roman"/>
              </w:rPr>
              <w:t>- Liczba odbiorców 250</w:t>
            </w:r>
          </w:p>
        </w:tc>
      </w:tr>
      <w:tr w:rsidR="0009772E" w:rsidRPr="00F00FB8" w:rsidTr="001B2014">
        <w:tc>
          <w:tcPr>
            <w:tcW w:w="710" w:type="dxa"/>
          </w:tcPr>
          <w:p w:rsidR="0009772E" w:rsidRPr="00590864" w:rsidRDefault="0009772E" w:rsidP="001B2014">
            <w:pPr>
              <w:rPr>
                <w:rFonts w:cs="Times New Roman"/>
              </w:rPr>
            </w:pPr>
            <w:r w:rsidRPr="00590864">
              <w:rPr>
                <w:rFonts w:cs="Times New Roman"/>
              </w:rPr>
              <w:t xml:space="preserve">II </w:t>
            </w:r>
            <w:proofErr w:type="spellStart"/>
            <w:r w:rsidRPr="00590864">
              <w:rPr>
                <w:rFonts w:cs="Times New Roman"/>
              </w:rPr>
              <w:t>poł</w:t>
            </w:r>
            <w:proofErr w:type="spellEnd"/>
            <w:r w:rsidRPr="00590864">
              <w:rPr>
                <w:rFonts w:cs="Times New Roman"/>
              </w:rPr>
              <w:t>. 2020</w:t>
            </w:r>
          </w:p>
        </w:tc>
        <w:tc>
          <w:tcPr>
            <w:tcW w:w="2551" w:type="dxa"/>
          </w:tcPr>
          <w:p w:rsidR="0009772E" w:rsidRPr="00590864" w:rsidRDefault="0009772E" w:rsidP="001B2014">
            <w:pPr>
              <w:rPr>
                <w:rFonts w:cs="Times New Roman"/>
              </w:rPr>
            </w:pPr>
            <w:r w:rsidRPr="00590864">
              <w:rPr>
                <w:rFonts w:cs="Times New Roman"/>
              </w:rPr>
              <w:t xml:space="preserve">Zapewnienie informacji dla potencjalnych wnioskodawców o głównych zasadach interpretacji </w:t>
            </w:r>
            <w:r w:rsidRPr="00590864">
              <w:rPr>
                <w:rFonts w:cs="Times New Roman"/>
              </w:rPr>
              <w:lastRenderedPageBreak/>
              <w:t>poszczególnych kryteriów oceny używanych przez Radę LGD, w tym również o kategoriach preferowanych operacji w największym stopniu realizujących założenia LSR</w:t>
            </w:r>
          </w:p>
        </w:tc>
        <w:tc>
          <w:tcPr>
            <w:tcW w:w="1985" w:type="dxa"/>
            <w:gridSpan w:val="2"/>
          </w:tcPr>
          <w:p w:rsidR="0009772E" w:rsidRPr="00A3572A" w:rsidRDefault="0009772E" w:rsidP="001B2014">
            <w:pPr>
              <w:rPr>
                <w:rFonts w:cs="Times New Roman"/>
              </w:rPr>
            </w:pPr>
            <w:r w:rsidRPr="00A3572A">
              <w:rPr>
                <w:rFonts w:cs="Times New Roman"/>
              </w:rPr>
              <w:lastRenderedPageBreak/>
              <w:t>Spotkania szkoleniowe dot. ogłoszonych konkursów</w:t>
            </w:r>
          </w:p>
        </w:tc>
        <w:tc>
          <w:tcPr>
            <w:tcW w:w="2126" w:type="dxa"/>
          </w:tcPr>
          <w:p w:rsidR="0009772E" w:rsidRPr="00A3572A" w:rsidRDefault="0009772E" w:rsidP="001B2014">
            <w:pPr>
              <w:rPr>
                <w:rFonts w:cs="Times New Roman"/>
              </w:rPr>
            </w:pPr>
            <w:r w:rsidRPr="00A3572A">
              <w:rPr>
                <w:rFonts w:cs="Times New Roman"/>
              </w:rPr>
              <w:t xml:space="preserve">- wszyscy potencjalni wnioskodawcy, w tym przedsiębiorcy, rolnicy, organizacje pozarządowe i </w:t>
            </w:r>
            <w:r w:rsidRPr="00A3572A">
              <w:rPr>
                <w:rFonts w:cs="Times New Roman"/>
              </w:rPr>
              <w:lastRenderedPageBreak/>
              <w:t xml:space="preserve">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Pr>
          <w:p w:rsidR="0009772E" w:rsidRPr="00A3572A" w:rsidRDefault="0009772E" w:rsidP="001B2014">
            <w:pPr>
              <w:rPr>
                <w:rFonts w:cs="Times New Roman"/>
              </w:rPr>
            </w:pPr>
            <w:r w:rsidRPr="00A3572A">
              <w:rPr>
                <w:rFonts w:cs="Times New Roman"/>
              </w:rPr>
              <w:lastRenderedPageBreak/>
              <w:t xml:space="preserve">- spotkania szkoleniowe </w:t>
            </w:r>
          </w:p>
          <w:p w:rsidR="0009772E" w:rsidRPr="00A3572A" w:rsidRDefault="0009772E" w:rsidP="001B2014">
            <w:pPr>
              <w:rPr>
                <w:rFonts w:cs="Times New Roman"/>
              </w:rPr>
            </w:pPr>
          </w:p>
        </w:tc>
        <w:tc>
          <w:tcPr>
            <w:tcW w:w="3260" w:type="dxa"/>
            <w:gridSpan w:val="2"/>
          </w:tcPr>
          <w:p w:rsidR="0009772E" w:rsidRPr="00A3572A" w:rsidRDefault="0009772E" w:rsidP="001B2014">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09772E" w:rsidRPr="00A3572A" w:rsidRDefault="0009772E" w:rsidP="001B2014">
            <w:pPr>
              <w:spacing w:line="100" w:lineRule="atLeast"/>
              <w:rPr>
                <w:rFonts w:ascii="Calibri" w:hAnsi="Calibri" w:cs="Calibri"/>
              </w:rPr>
            </w:pPr>
          </w:p>
        </w:tc>
        <w:tc>
          <w:tcPr>
            <w:tcW w:w="1843" w:type="dxa"/>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30</w:t>
            </w:r>
          </w:p>
          <w:p w:rsidR="0009772E" w:rsidRPr="00A3572A" w:rsidRDefault="0009772E" w:rsidP="001B2014">
            <w:pPr>
              <w:rPr>
                <w:rFonts w:cs="Times New Roman"/>
              </w:rPr>
            </w:pP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lastRenderedPageBreak/>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w tym o stopniu osiągania celów</w:t>
            </w:r>
            <w:r>
              <w:rPr>
                <w:rFonts w:cs="Times New Roman"/>
              </w:rPr>
              <w:br/>
            </w:r>
            <w:r w:rsidRPr="00F00FB8">
              <w:rPr>
                <w:rFonts w:cs="Times New Roman"/>
              </w:rPr>
              <w:t>i wskaźników, wyniki bieżącego monitoringu i działań ewaluacyjnych</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stopniu osiągniętych wskaźników, wynikach działań ewaluacyjnych</w:t>
            </w:r>
          </w:p>
        </w:tc>
        <w:tc>
          <w:tcPr>
            <w:tcW w:w="2126" w:type="dxa"/>
            <w:tcBorders>
              <w:bottom w:val="single" w:sz="4" w:space="0" w:color="auto"/>
            </w:tcBorders>
          </w:tcPr>
          <w:p w:rsidR="0009772E" w:rsidRPr="006761D4" w:rsidRDefault="0009772E" w:rsidP="001B2014">
            <w:pPr>
              <w:rPr>
                <w:rFonts w:cs="Times New Roman"/>
              </w:rPr>
            </w:pPr>
            <w:r w:rsidRPr="006761D4">
              <w:rPr>
                <w:rFonts w:cs="Times New Roman"/>
              </w:rPr>
              <w:t>- wszyscy mieszkańcy obszaru LGD (ogół społeczeństwa)</w:t>
            </w:r>
          </w:p>
        </w:tc>
        <w:tc>
          <w:tcPr>
            <w:tcW w:w="2835" w:type="dxa"/>
            <w:tcBorders>
              <w:bottom w:val="single" w:sz="4" w:space="0" w:color="auto"/>
            </w:tcBorders>
          </w:tcPr>
          <w:p w:rsidR="0009772E" w:rsidRPr="006761D4" w:rsidRDefault="0009772E" w:rsidP="001B2014">
            <w:pPr>
              <w:rPr>
                <w:rFonts w:cs="Times New Roman"/>
              </w:rPr>
            </w:pPr>
            <w:r w:rsidRPr="006761D4">
              <w:rPr>
                <w:rFonts w:cs="Times New Roman"/>
              </w:rPr>
              <w:t>- ogłoszenie w prasie lokalnej/artykuły sponsorowane</w:t>
            </w:r>
          </w:p>
          <w:p w:rsidR="0009772E" w:rsidRPr="006761D4" w:rsidRDefault="0009772E" w:rsidP="001B2014">
            <w:pPr>
              <w:rPr>
                <w:rFonts w:cs="Times New Roman"/>
              </w:rPr>
            </w:pPr>
            <w:r w:rsidRPr="006761D4">
              <w:rPr>
                <w:rFonts w:cs="Times New Roman"/>
              </w:rPr>
              <w:t xml:space="preserve">- plakaty </w:t>
            </w:r>
          </w:p>
          <w:p w:rsidR="0009772E" w:rsidRPr="006761D4" w:rsidRDefault="0009772E" w:rsidP="001B2014">
            <w:pPr>
              <w:rPr>
                <w:rFonts w:cs="Times New Roman"/>
              </w:rPr>
            </w:pPr>
            <w:r w:rsidRPr="006761D4">
              <w:rPr>
                <w:rFonts w:cs="Times New Roman"/>
              </w:rPr>
              <w:t>- spotkania informacyjno-konsultacyjne</w:t>
            </w:r>
          </w:p>
          <w:p w:rsidR="0009772E" w:rsidRPr="006761D4" w:rsidRDefault="0009772E" w:rsidP="001B2014">
            <w:pPr>
              <w:rPr>
                <w:rFonts w:cs="Times New Roman"/>
              </w:rPr>
            </w:pPr>
            <w:r w:rsidRPr="006761D4">
              <w:rPr>
                <w:rFonts w:cs="Times New Roman"/>
              </w:rPr>
              <w:t>- impreza promocyjna</w:t>
            </w:r>
          </w:p>
        </w:tc>
        <w:tc>
          <w:tcPr>
            <w:tcW w:w="3260" w:type="dxa"/>
            <w:gridSpan w:val="2"/>
            <w:tcBorders>
              <w:bottom w:val="single" w:sz="4" w:space="0" w:color="auto"/>
            </w:tcBorders>
          </w:tcPr>
          <w:p w:rsidR="0009772E" w:rsidRPr="004D6A6B" w:rsidRDefault="0009772E" w:rsidP="001B2014">
            <w:pPr>
              <w:rPr>
                <w:rFonts w:ascii="Calibri" w:hAnsi="Calibri" w:cs="Calibri"/>
              </w:rPr>
            </w:pPr>
            <w:r w:rsidRPr="004D6A6B">
              <w:rPr>
                <w:rFonts w:ascii="Calibri" w:hAnsi="Calibri" w:cs="Calibri"/>
              </w:rPr>
              <w:t>- Liczba ogłoszeń w lokalnej prasie – 5</w:t>
            </w:r>
          </w:p>
          <w:p w:rsidR="0009772E" w:rsidRPr="004D6A6B" w:rsidRDefault="0009772E" w:rsidP="001B2014">
            <w:pPr>
              <w:rPr>
                <w:rFonts w:ascii="Calibri" w:hAnsi="Calibri" w:cs="Calibri"/>
              </w:rPr>
            </w:pPr>
            <w:r w:rsidRPr="004D6A6B">
              <w:rPr>
                <w:rFonts w:ascii="Calibri" w:hAnsi="Calibri" w:cs="Calibri"/>
              </w:rPr>
              <w:t xml:space="preserve">- Liczba artykułów sponsorowanych w lokalnej prasie – 2 </w:t>
            </w:r>
          </w:p>
          <w:p w:rsidR="0009772E" w:rsidRPr="004D6A6B" w:rsidRDefault="0009772E" w:rsidP="001B2014">
            <w:pPr>
              <w:rPr>
                <w:rFonts w:ascii="Calibri" w:hAnsi="Calibri" w:cs="Calibri"/>
              </w:rPr>
            </w:pPr>
            <w:r w:rsidRPr="004D6A6B">
              <w:rPr>
                <w:rFonts w:ascii="Calibri" w:hAnsi="Calibri" w:cs="Calibri"/>
              </w:rPr>
              <w:t>- Liczba wydrukowanych plakatów ogłoszeniowych – 350</w:t>
            </w:r>
          </w:p>
          <w:p w:rsidR="0009772E" w:rsidRPr="004D6A6B" w:rsidRDefault="0009772E" w:rsidP="001B2014">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2</w:t>
            </w:r>
          </w:p>
          <w:p w:rsidR="0009772E" w:rsidRPr="004D6A6B" w:rsidRDefault="0009772E" w:rsidP="001B2014">
            <w:pPr>
              <w:rPr>
                <w:rFonts w:cs="Times New Roman"/>
              </w:rPr>
            </w:pPr>
            <w:r w:rsidRPr="004D6A6B">
              <w:rPr>
                <w:rFonts w:ascii="Calibri" w:hAnsi="Calibri" w:cs="Calibri"/>
              </w:rPr>
              <w:t>- Liczba zorganizowanych imprez promocyjnych</w:t>
            </w:r>
            <w:r>
              <w:rPr>
                <w:rFonts w:ascii="Calibri" w:hAnsi="Calibri" w:cs="Calibri"/>
              </w:rPr>
              <w:t>*</w:t>
            </w:r>
            <w:r w:rsidRPr="004D6A6B">
              <w:rPr>
                <w:rFonts w:ascii="Calibri" w:hAnsi="Calibri" w:cs="Calibri"/>
              </w:rPr>
              <w:t xml:space="preserve"> – 1 </w:t>
            </w:r>
          </w:p>
        </w:tc>
        <w:tc>
          <w:tcPr>
            <w:tcW w:w="1843" w:type="dxa"/>
            <w:tcBorders>
              <w:bottom w:val="single" w:sz="4" w:space="0" w:color="auto"/>
            </w:tcBorders>
          </w:tcPr>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20000</w:t>
            </w:r>
          </w:p>
          <w:p w:rsidR="0009772E" w:rsidRPr="004D6A6B" w:rsidRDefault="0009772E" w:rsidP="001B2014">
            <w:pPr>
              <w:snapToGrid w:val="0"/>
              <w:spacing w:line="100" w:lineRule="atLeast"/>
              <w:rPr>
                <w:rFonts w:ascii="Calibri" w:hAnsi="Calibri" w:cs="Calibri"/>
              </w:rPr>
            </w:pPr>
            <w:r w:rsidRPr="004D6A6B">
              <w:rPr>
                <w:rFonts w:ascii="Calibri" w:hAnsi="Calibri" w:cs="Calibri"/>
              </w:rPr>
              <w:t>- Liczba odbiorców 8000</w:t>
            </w:r>
          </w:p>
          <w:p w:rsidR="0009772E" w:rsidRPr="004D6A6B" w:rsidRDefault="0009772E" w:rsidP="001B2014">
            <w:pPr>
              <w:snapToGrid w:val="0"/>
              <w:spacing w:line="100" w:lineRule="atLeast"/>
              <w:rPr>
                <w:rFonts w:ascii="Calibri" w:hAnsi="Calibri" w:cs="Calibri"/>
              </w:rPr>
            </w:pPr>
          </w:p>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10500</w:t>
            </w:r>
          </w:p>
          <w:p w:rsidR="0009772E" w:rsidRPr="004D6A6B" w:rsidRDefault="0009772E" w:rsidP="001B2014">
            <w:pPr>
              <w:snapToGrid w:val="0"/>
              <w:spacing w:line="100" w:lineRule="atLeast"/>
              <w:rPr>
                <w:rFonts w:ascii="Calibri" w:hAnsi="Calibri" w:cs="Calibri"/>
              </w:rPr>
            </w:pPr>
            <w:r w:rsidRPr="004D6A6B">
              <w:rPr>
                <w:rFonts w:ascii="Calibri" w:hAnsi="Calibri" w:cs="Calibri"/>
              </w:rPr>
              <w:t>- Liczba odbiorców 50</w:t>
            </w:r>
          </w:p>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Liczba odbiorców 400</w:t>
            </w:r>
          </w:p>
        </w:tc>
      </w:tr>
      <w:tr w:rsidR="0009772E" w:rsidRPr="00F00FB8" w:rsidTr="001B2014">
        <w:tc>
          <w:tcPr>
            <w:tcW w:w="710" w:type="dxa"/>
            <w:tcBorders>
              <w:bottom w:val="single" w:sz="4" w:space="0" w:color="auto"/>
            </w:tcBorders>
          </w:tcPr>
          <w:p w:rsidR="0009772E" w:rsidRPr="00F00FB8" w:rsidRDefault="0009772E" w:rsidP="001B2014">
            <w:pPr>
              <w:rPr>
                <w:rFonts w:cs="Times New Roman"/>
              </w:rPr>
            </w:pPr>
            <w:r w:rsidRPr="00F00FB8">
              <w:rPr>
                <w:rFonts w:cs="Times New Roman"/>
              </w:rPr>
              <w:t xml:space="preserve">II </w:t>
            </w:r>
            <w:proofErr w:type="spellStart"/>
            <w:r w:rsidRPr="00F00FB8">
              <w:rPr>
                <w:rFonts w:cs="Times New Roman"/>
              </w:rPr>
              <w:t>poł</w:t>
            </w:r>
            <w:proofErr w:type="spellEnd"/>
            <w:r>
              <w:rPr>
                <w:rFonts w:cs="Times New Roman"/>
              </w:rPr>
              <w:t>.</w:t>
            </w:r>
            <w:r w:rsidRPr="00F00FB8">
              <w:rPr>
                <w:rFonts w:cs="Times New Roman"/>
              </w:rPr>
              <w:t xml:space="preserve"> 2020</w:t>
            </w:r>
          </w:p>
        </w:tc>
        <w:tc>
          <w:tcPr>
            <w:tcW w:w="2551" w:type="dxa"/>
            <w:tcBorders>
              <w:bottom w:val="single" w:sz="4" w:space="0" w:color="auto"/>
            </w:tcBorders>
          </w:tcPr>
          <w:p w:rsidR="0009772E" w:rsidRPr="00F00FB8" w:rsidRDefault="0009772E" w:rsidP="001B2014">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przeprowadzenia ewentualnych korekt w tym zakresie</w:t>
            </w:r>
          </w:p>
        </w:tc>
        <w:tc>
          <w:tcPr>
            <w:tcW w:w="1985" w:type="dxa"/>
            <w:gridSpan w:val="2"/>
            <w:tcBorders>
              <w:bottom w:val="single" w:sz="4" w:space="0" w:color="auto"/>
            </w:tcBorders>
          </w:tcPr>
          <w:p w:rsidR="0009772E" w:rsidRPr="00F00FB8" w:rsidRDefault="0009772E" w:rsidP="001B2014">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6" w:type="dxa"/>
            <w:tcBorders>
              <w:bottom w:val="single" w:sz="4" w:space="0" w:color="auto"/>
            </w:tcBorders>
          </w:tcPr>
          <w:p w:rsidR="0009772E" w:rsidRPr="00F00FB8" w:rsidRDefault="0009772E" w:rsidP="001B2014">
            <w:pPr>
              <w:rPr>
                <w:rFonts w:cs="Times New Roman"/>
              </w:rPr>
            </w:pPr>
            <w:r w:rsidRPr="00F00FB8">
              <w:rPr>
                <w:rFonts w:cs="Times New Roman"/>
              </w:rPr>
              <w:t>- wnioskodawcy oraz beneficjenci pomocy na różnych etapach realizacji operacji w ramach LSR</w:t>
            </w:r>
          </w:p>
        </w:tc>
        <w:tc>
          <w:tcPr>
            <w:tcW w:w="2835" w:type="dxa"/>
            <w:tcBorders>
              <w:bottom w:val="single" w:sz="4" w:space="0" w:color="auto"/>
            </w:tcBorders>
          </w:tcPr>
          <w:p w:rsidR="0009772E" w:rsidRPr="00F00FB8" w:rsidRDefault="0009772E" w:rsidP="001B2014">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09772E" w:rsidRPr="00F00FB8" w:rsidRDefault="0009772E" w:rsidP="001B2014">
            <w:pPr>
              <w:rPr>
                <w:rFonts w:cs="Times New Roman"/>
              </w:rPr>
            </w:pPr>
            <w:r w:rsidRPr="00F00FB8">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09772E" w:rsidRPr="00A3572A"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2021</w:t>
            </w:r>
          </w:p>
        </w:tc>
      </w:tr>
      <w:tr w:rsidR="0009772E" w:rsidRPr="00F00FB8" w:rsidTr="001B2014">
        <w:tc>
          <w:tcPr>
            <w:tcW w:w="710" w:type="dxa"/>
          </w:tcPr>
          <w:p w:rsidR="0009772E" w:rsidRPr="00A3572A" w:rsidRDefault="0009772E" w:rsidP="001B2014">
            <w:pPr>
              <w:rPr>
                <w:rFonts w:cs="Times New Roman"/>
              </w:rPr>
            </w:pPr>
            <w:r w:rsidRPr="00A3572A">
              <w:rPr>
                <w:rFonts w:cs="Times New Roman"/>
              </w:rPr>
              <w:t xml:space="preserve">I </w:t>
            </w:r>
            <w:proofErr w:type="spellStart"/>
            <w:r w:rsidRPr="00A3572A">
              <w:rPr>
                <w:rFonts w:cs="Times New Roman"/>
              </w:rPr>
              <w:t>poł</w:t>
            </w:r>
            <w:proofErr w:type="spellEnd"/>
            <w:r w:rsidRPr="00A3572A">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 xml:space="preserve">Zapewnienie informacji dla potencjalnych </w:t>
            </w:r>
            <w:r w:rsidRPr="00A3572A">
              <w:rPr>
                <w:rFonts w:cs="Times New Roman"/>
              </w:rPr>
              <w:lastRenderedPageBreak/>
              <w:t>wnioskodawców 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A3572A" w:rsidRDefault="0009772E" w:rsidP="001B2014">
            <w:pPr>
              <w:rPr>
                <w:rFonts w:cs="Times New Roman"/>
              </w:rPr>
            </w:pPr>
            <w:r w:rsidRPr="00A3572A">
              <w:rPr>
                <w:rFonts w:cs="Times New Roman"/>
              </w:rPr>
              <w:lastRenderedPageBreak/>
              <w:t xml:space="preserve">Spotkania nt. zasad oceniania i wyboru </w:t>
            </w:r>
            <w:r w:rsidRPr="00A3572A">
              <w:rPr>
                <w:rFonts w:cs="Times New Roman"/>
              </w:rPr>
              <w:lastRenderedPageBreak/>
              <w:t>operacji przez LGD z elementami warsztatów</w:t>
            </w:r>
          </w:p>
        </w:tc>
        <w:tc>
          <w:tcPr>
            <w:tcW w:w="2126" w:type="dxa"/>
            <w:tcBorders>
              <w:bottom w:val="single" w:sz="4" w:space="0" w:color="auto"/>
            </w:tcBorders>
          </w:tcPr>
          <w:p w:rsidR="0009772E" w:rsidRPr="00A3572A" w:rsidRDefault="0009772E" w:rsidP="001B2014">
            <w:pPr>
              <w:rPr>
                <w:rFonts w:cs="Times New Roman"/>
              </w:rPr>
            </w:pPr>
            <w:r w:rsidRPr="00A3572A">
              <w:rPr>
                <w:rFonts w:cs="Times New Roman"/>
              </w:rPr>
              <w:lastRenderedPageBreak/>
              <w:t xml:space="preserve">- wszyscy potencjalni wnioskodawcy, w </w:t>
            </w:r>
            <w:r w:rsidRPr="00A3572A">
              <w:rPr>
                <w:rFonts w:cs="Times New Roman"/>
              </w:rPr>
              <w:lastRenderedPageBreak/>
              <w:t xml:space="preserve">tym przedsiębiorcy, rolnicy, organizacje pozarządowe i 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Borders>
              <w:bottom w:val="single" w:sz="4" w:space="0" w:color="auto"/>
            </w:tcBorders>
          </w:tcPr>
          <w:p w:rsidR="0009772E" w:rsidRPr="006761D4" w:rsidRDefault="0009772E" w:rsidP="001B2014">
            <w:pPr>
              <w:rPr>
                <w:rFonts w:cs="Times New Roman"/>
              </w:rPr>
            </w:pPr>
            <w:r w:rsidRPr="00A3572A">
              <w:rPr>
                <w:rFonts w:cs="Times New Roman"/>
              </w:rPr>
              <w:lastRenderedPageBreak/>
              <w:t xml:space="preserve">- ogłoszenia w prasie/artykuły </w:t>
            </w:r>
            <w:r w:rsidRPr="00A3572A">
              <w:rPr>
                <w:rFonts w:cs="Times New Roman"/>
              </w:rPr>
              <w:lastRenderedPageBreak/>
              <w:t>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09772E" w:rsidRPr="00A3572A" w:rsidRDefault="0009772E" w:rsidP="001B2014">
            <w:pPr>
              <w:rPr>
                <w:rFonts w:cs="Times New Roman"/>
              </w:rPr>
            </w:pPr>
            <w:r w:rsidRPr="00A3572A">
              <w:rPr>
                <w:rFonts w:cs="Times New Roman"/>
              </w:rPr>
              <w:t xml:space="preserve">- działania promujące LSR </w:t>
            </w:r>
          </w:p>
          <w:p w:rsidR="0009772E" w:rsidRPr="00A3572A" w:rsidRDefault="0009772E" w:rsidP="001B2014">
            <w:pPr>
              <w:rPr>
                <w:rFonts w:cs="Times New Roman"/>
              </w:rPr>
            </w:pPr>
            <w:r w:rsidRPr="00A3572A">
              <w:rPr>
                <w:rFonts w:cs="Times New Roman"/>
              </w:rPr>
              <w:t>-  impreza promocyjna</w:t>
            </w:r>
          </w:p>
          <w:p w:rsidR="0009772E" w:rsidRPr="0073746C" w:rsidRDefault="0009772E" w:rsidP="001B2014">
            <w:pPr>
              <w:rPr>
                <w:rFonts w:cs="Times New Roman"/>
                <w:color w:val="FF0000"/>
              </w:rPr>
            </w:pPr>
            <w:r w:rsidRPr="00A3572A">
              <w:rPr>
                <w:rFonts w:cs="Times New Roman"/>
              </w:rPr>
              <w:t>- plakaty</w:t>
            </w:r>
            <w:r>
              <w:rPr>
                <w:rFonts w:cs="Times New Roman"/>
              </w:rPr>
              <w:t xml:space="preserve"> </w:t>
            </w:r>
          </w:p>
          <w:p w:rsidR="0009772E" w:rsidRPr="00A3572A" w:rsidRDefault="0009772E" w:rsidP="001B2014">
            <w:pPr>
              <w:rPr>
                <w:rFonts w:cs="Times New Roman"/>
              </w:rPr>
            </w:pPr>
          </w:p>
        </w:tc>
        <w:tc>
          <w:tcPr>
            <w:tcW w:w="3260" w:type="dxa"/>
            <w:gridSpan w:val="2"/>
            <w:tcBorders>
              <w:bottom w:val="single" w:sz="4" w:space="0" w:color="auto"/>
            </w:tcBorders>
          </w:tcPr>
          <w:p w:rsidR="0009772E" w:rsidRPr="00A3572A" w:rsidRDefault="0009772E" w:rsidP="001B2014">
            <w:pPr>
              <w:rPr>
                <w:rFonts w:cs="Times New Roman"/>
              </w:rPr>
            </w:pPr>
            <w:r>
              <w:rPr>
                <w:rFonts w:cs="Times New Roman"/>
              </w:rPr>
              <w:lastRenderedPageBreak/>
              <w:t xml:space="preserve">- Liczba </w:t>
            </w:r>
            <w:r w:rsidRPr="004D6A6B">
              <w:rPr>
                <w:rFonts w:cs="Times New Roman"/>
              </w:rPr>
              <w:t>ogłoszeń w lokalnej</w:t>
            </w:r>
            <w:r>
              <w:rPr>
                <w:rFonts w:cs="Times New Roman"/>
                <w:color w:val="FF0000"/>
              </w:rPr>
              <w:t xml:space="preserve"> </w:t>
            </w:r>
            <w:r>
              <w:rPr>
                <w:rFonts w:cs="Times New Roman"/>
              </w:rPr>
              <w:t xml:space="preserve">prasie </w:t>
            </w:r>
            <w:r w:rsidRPr="00A3572A">
              <w:rPr>
                <w:rFonts w:cs="Times New Roman"/>
              </w:rPr>
              <w:t>– 4</w:t>
            </w:r>
          </w:p>
          <w:p w:rsidR="0009772E" w:rsidRPr="00A3572A" w:rsidRDefault="0009772E" w:rsidP="001B2014">
            <w:pPr>
              <w:rPr>
                <w:rFonts w:cs="Times New Roman"/>
              </w:rPr>
            </w:pPr>
            <w:r w:rsidRPr="00A3572A">
              <w:rPr>
                <w:rFonts w:cs="Times New Roman"/>
              </w:rPr>
              <w:lastRenderedPageBreak/>
              <w:t>- Liczba artykułów sponsorowanych – 2</w:t>
            </w:r>
          </w:p>
          <w:p w:rsidR="0009772E" w:rsidRPr="00A3572A" w:rsidRDefault="0009772E" w:rsidP="001B2014">
            <w:pPr>
              <w:rPr>
                <w:rFonts w:cs="Times New Roman"/>
              </w:rPr>
            </w:pPr>
            <w:r w:rsidRPr="00A3572A">
              <w:rPr>
                <w:rFonts w:cs="Times New Roman"/>
              </w:rPr>
              <w:t>- Liczba wydanych broszur informacyjnych – 3200</w:t>
            </w:r>
          </w:p>
          <w:p w:rsidR="0009772E" w:rsidRPr="00A3572A" w:rsidRDefault="0009772E" w:rsidP="001B2014">
            <w:pPr>
              <w:rPr>
                <w:rFonts w:cs="Times New Roman"/>
              </w:rPr>
            </w:pPr>
            <w:r w:rsidRPr="00A3572A">
              <w:rPr>
                <w:rFonts w:cs="Times New Roman"/>
              </w:rPr>
              <w:t xml:space="preserve">- Liczba wydanych ulotek – 400 </w:t>
            </w:r>
          </w:p>
          <w:p w:rsidR="0009772E" w:rsidRPr="006A0D58" w:rsidRDefault="0009772E" w:rsidP="001B2014">
            <w:pPr>
              <w:rPr>
                <w:rFonts w:cs="Times New Roman"/>
                <w:strike/>
                <w:color w:val="FF0000"/>
              </w:rPr>
            </w:pPr>
          </w:p>
          <w:p w:rsidR="0009772E" w:rsidRPr="00A3572A" w:rsidRDefault="0009772E" w:rsidP="001B2014">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 3</w:t>
            </w:r>
          </w:p>
          <w:p w:rsidR="0009772E" w:rsidRPr="00A3572A" w:rsidRDefault="0009772E" w:rsidP="001B2014">
            <w:pPr>
              <w:rPr>
                <w:rFonts w:cs="Times New Roman"/>
              </w:rPr>
            </w:pPr>
            <w:r w:rsidRPr="00A3572A">
              <w:rPr>
                <w:rFonts w:cs="Times New Roman"/>
              </w:rPr>
              <w:t>- Liczba zorganizowanych działań promujących LSR</w:t>
            </w:r>
            <w:r>
              <w:rPr>
                <w:rFonts w:cs="Times New Roman"/>
              </w:rPr>
              <w:t>*</w:t>
            </w:r>
            <w:r w:rsidRPr="00A3572A">
              <w:rPr>
                <w:rFonts w:cs="Times New Roman"/>
              </w:rPr>
              <w:t xml:space="preserve"> – 1</w:t>
            </w:r>
          </w:p>
          <w:p w:rsidR="0009772E" w:rsidRPr="00A3572A" w:rsidRDefault="0009772E" w:rsidP="001B2014">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 1 </w:t>
            </w:r>
          </w:p>
          <w:p w:rsidR="0009772E" w:rsidRPr="00A3572A" w:rsidRDefault="0009772E" w:rsidP="001B2014">
            <w:pPr>
              <w:rPr>
                <w:rFonts w:cs="Times New Roman"/>
              </w:rPr>
            </w:pPr>
            <w:r w:rsidRPr="00A3572A">
              <w:rPr>
                <w:rFonts w:cs="Times New Roman"/>
              </w:rPr>
              <w:t xml:space="preserve">- Liczba wydanych plakatów – 350 </w:t>
            </w:r>
          </w:p>
        </w:tc>
        <w:tc>
          <w:tcPr>
            <w:tcW w:w="1843" w:type="dxa"/>
            <w:tcBorders>
              <w:bottom w:val="single" w:sz="4" w:space="0" w:color="auto"/>
            </w:tcBorders>
          </w:tcPr>
          <w:p w:rsidR="0009772E" w:rsidRPr="00A3572A" w:rsidRDefault="0009772E" w:rsidP="001B2014">
            <w:pPr>
              <w:snapToGrid w:val="0"/>
              <w:spacing w:line="100" w:lineRule="atLeast"/>
              <w:rPr>
                <w:rFonts w:cs="Times New Roman"/>
              </w:rPr>
            </w:pPr>
            <w:r w:rsidRPr="00A3572A">
              <w:rPr>
                <w:rFonts w:cs="Times New Roman"/>
              </w:rPr>
              <w:lastRenderedPageBreak/>
              <w:t>- Liczba odbiorców 16000</w:t>
            </w:r>
          </w:p>
          <w:p w:rsidR="0009772E" w:rsidRPr="00A3572A" w:rsidRDefault="0009772E" w:rsidP="001B2014">
            <w:pPr>
              <w:snapToGrid w:val="0"/>
              <w:spacing w:line="100" w:lineRule="atLeast"/>
              <w:rPr>
                <w:rFonts w:cs="Times New Roman"/>
              </w:rPr>
            </w:pPr>
            <w:r w:rsidRPr="00A3572A">
              <w:rPr>
                <w:rFonts w:cs="Times New Roman"/>
              </w:rPr>
              <w:lastRenderedPageBreak/>
              <w:t>- Liczba odbiorców 8000</w:t>
            </w:r>
          </w:p>
          <w:p w:rsidR="0009772E" w:rsidRPr="00A3572A" w:rsidRDefault="0009772E" w:rsidP="001B2014">
            <w:pPr>
              <w:snapToGrid w:val="0"/>
              <w:spacing w:line="100" w:lineRule="atLeast"/>
              <w:rPr>
                <w:rFonts w:ascii="Times New Roman" w:eastAsia="DejaVuSans" w:hAnsi="Times New Roman" w:cs="Times New Roman"/>
                <w:sz w:val="24"/>
                <w:szCs w:val="24"/>
              </w:rPr>
            </w:pPr>
            <w:r w:rsidRPr="00A3572A">
              <w:rPr>
                <w:rFonts w:cs="Times New Roman"/>
              </w:rPr>
              <w:t>- Liczba odbiorców 3200</w:t>
            </w:r>
          </w:p>
          <w:p w:rsidR="0009772E" w:rsidRPr="00A3572A" w:rsidRDefault="0009772E" w:rsidP="001B2014">
            <w:pPr>
              <w:snapToGrid w:val="0"/>
              <w:spacing w:line="100" w:lineRule="atLeast"/>
              <w:rPr>
                <w:rFonts w:cs="Times New Roman"/>
              </w:rPr>
            </w:pPr>
            <w:r w:rsidRPr="00A3572A">
              <w:rPr>
                <w:rFonts w:cs="Times New Roman"/>
              </w:rPr>
              <w:t>- Liczba odbiorców 400</w:t>
            </w:r>
          </w:p>
          <w:p w:rsidR="0009772E" w:rsidRPr="00A3572A" w:rsidRDefault="0009772E" w:rsidP="001B2014">
            <w:pPr>
              <w:snapToGrid w:val="0"/>
              <w:spacing w:line="100" w:lineRule="atLeast"/>
              <w:rPr>
                <w:rFonts w:cs="Times New Roman"/>
              </w:rPr>
            </w:pPr>
            <w:r w:rsidRPr="00A3572A">
              <w:rPr>
                <w:rFonts w:cs="Times New Roman"/>
              </w:rPr>
              <w:t>- Liczba odbiorców 75</w:t>
            </w:r>
          </w:p>
          <w:p w:rsidR="0009772E" w:rsidRPr="00A3572A" w:rsidRDefault="0009772E" w:rsidP="001B2014">
            <w:pPr>
              <w:snapToGrid w:val="0"/>
              <w:spacing w:line="100" w:lineRule="atLeast"/>
              <w:rPr>
                <w:rFonts w:cs="Times New Roman"/>
              </w:rPr>
            </w:pPr>
            <w:r w:rsidRPr="00A3572A">
              <w:rPr>
                <w:rFonts w:cs="Times New Roman"/>
              </w:rPr>
              <w:t>- Liczba odbiorców 250</w:t>
            </w:r>
          </w:p>
          <w:p w:rsidR="0009772E" w:rsidRPr="00A3572A" w:rsidRDefault="0009772E" w:rsidP="001B2014">
            <w:pPr>
              <w:snapToGrid w:val="0"/>
              <w:spacing w:line="100" w:lineRule="atLeast"/>
              <w:rPr>
                <w:rFonts w:cs="Times New Roman"/>
              </w:rPr>
            </w:pPr>
            <w:r w:rsidRPr="00A3572A">
              <w:rPr>
                <w:rFonts w:cs="Times New Roman"/>
              </w:rPr>
              <w:t xml:space="preserve"> - Liczba odbiorców 400</w:t>
            </w:r>
          </w:p>
          <w:p w:rsidR="0009772E" w:rsidRPr="00A3572A" w:rsidRDefault="0009772E" w:rsidP="001B2014">
            <w:pPr>
              <w:snapToGrid w:val="0"/>
              <w:spacing w:line="100" w:lineRule="atLeast"/>
              <w:rPr>
                <w:rFonts w:eastAsia="DejaVuSans" w:cs="Calibri"/>
              </w:rPr>
            </w:pPr>
            <w:r w:rsidRPr="00A3572A">
              <w:rPr>
                <w:rFonts w:cs="Times New Roman"/>
              </w:rPr>
              <w:t>- Liczba odbiorców 10500</w:t>
            </w:r>
          </w:p>
        </w:tc>
      </w:tr>
      <w:tr w:rsidR="0009772E" w:rsidRPr="00F00FB8" w:rsidTr="001B2014">
        <w:tc>
          <w:tcPr>
            <w:tcW w:w="710" w:type="dxa"/>
            <w:tcBorders>
              <w:bottom w:val="single" w:sz="4" w:space="0" w:color="auto"/>
            </w:tcBorders>
          </w:tcPr>
          <w:p w:rsidR="0009772E" w:rsidRPr="004D6A6B" w:rsidRDefault="0009772E" w:rsidP="001B2014">
            <w:pPr>
              <w:rPr>
                <w:rFonts w:cs="Times New Roman"/>
              </w:rPr>
            </w:pPr>
            <w:r w:rsidRPr="004D6A6B">
              <w:rPr>
                <w:rFonts w:cs="Times New Roman"/>
              </w:rPr>
              <w:lastRenderedPageBreak/>
              <w:t xml:space="preserve">I </w:t>
            </w:r>
            <w:proofErr w:type="spellStart"/>
            <w:r w:rsidRPr="004D6A6B">
              <w:rPr>
                <w:rFonts w:cs="Times New Roman"/>
              </w:rPr>
              <w:t>poł</w:t>
            </w:r>
            <w:proofErr w:type="spellEnd"/>
            <w:r w:rsidRPr="004D6A6B">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A3572A" w:rsidRDefault="0009772E" w:rsidP="001B2014">
            <w:pPr>
              <w:rPr>
                <w:rFonts w:cs="Times New Roman"/>
              </w:rPr>
            </w:pPr>
            <w:r w:rsidRPr="00A3572A">
              <w:rPr>
                <w:rFonts w:cs="Times New Roman"/>
              </w:rPr>
              <w:t>Spotkania szkoleniowe dot. ogłoszonych konkursów</w:t>
            </w:r>
          </w:p>
        </w:tc>
        <w:tc>
          <w:tcPr>
            <w:tcW w:w="2126" w:type="dxa"/>
            <w:tcBorders>
              <w:bottom w:val="single" w:sz="4" w:space="0" w:color="auto"/>
            </w:tcBorders>
          </w:tcPr>
          <w:p w:rsidR="0009772E" w:rsidRPr="00A3572A" w:rsidRDefault="0009772E" w:rsidP="001B2014">
            <w:pPr>
              <w:rPr>
                <w:rFonts w:cs="Times New Roman"/>
              </w:rPr>
            </w:pPr>
            <w:r w:rsidRPr="00A3572A">
              <w:rPr>
                <w:rFonts w:cs="Times New Roman"/>
              </w:rPr>
              <w:t xml:space="preserve">- wszyscy potencjalni wnioskodawcy, w tym przedsiębiorcy, rolnicy, organizacje pozarządowe i pozostali mieszkańcy obszaru, w tym przedstawiciele grup </w:t>
            </w:r>
            <w:proofErr w:type="spellStart"/>
            <w:r w:rsidRPr="00A3572A">
              <w:rPr>
                <w:rFonts w:cs="Times New Roman"/>
              </w:rPr>
              <w:t>defaworyzowanych</w:t>
            </w:r>
            <w:proofErr w:type="spellEnd"/>
            <w:r w:rsidRPr="00A3572A">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prasie</w:t>
            </w:r>
          </w:p>
          <w:p w:rsidR="0009772E" w:rsidRPr="00A3572A" w:rsidRDefault="0009772E" w:rsidP="001B2014">
            <w:pPr>
              <w:rPr>
                <w:rFonts w:cs="Times New Roman"/>
              </w:rPr>
            </w:pPr>
            <w:r w:rsidRPr="00A3572A">
              <w:rPr>
                <w:rFonts w:cs="Times New Roman"/>
              </w:rPr>
              <w:t xml:space="preserve">- spotkania szkoleniowe </w:t>
            </w:r>
          </w:p>
        </w:tc>
        <w:tc>
          <w:tcPr>
            <w:tcW w:w="3260" w:type="dxa"/>
            <w:gridSpan w:val="2"/>
            <w:tcBorders>
              <w:bottom w:val="single" w:sz="4" w:space="0" w:color="auto"/>
            </w:tcBorders>
          </w:tcPr>
          <w:p w:rsidR="0009772E" w:rsidRPr="00A3572A" w:rsidRDefault="0009772E" w:rsidP="001B2014">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09772E" w:rsidRPr="00A3572A" w:rsidRDefault="0009772E" w:rsidP="001B2014">
            <w:pPr>
              <w:rPr>
                <w:rFonts w:cs="Times New Roman"/>
              </w:rPr>
            </w:pPr>
            <w:r w:rsidRPr="00A3572A">
              <w:rPr>
                <w:rFonts w:cs="Times New Roman"/>
              </w:rPr>
              <w:t>- Liczba ogłoszeń w prasie – 3</w:t>
            </w:r>
          </w:p>
          <w:p w:rsidR="0009772E" w:rsidRPr="00A3572A" w:rsidRDefault="0009772E" w:rsidP="001B2014">
            <w:pPr>
              <w:spacing w:line="100" w:lineRule="atLeast"/>
              <w:rPr>
                <w:rFonts w:ascii="Calibri" w:hAnsi="Calibri" w:cs="Calibri"/>
              </w:rPr>
            </w:pP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30</w:t>
            </w:r>
          </w:p>
          <w:p w:rsidR="0009772E" w:rsidRPr="00A3572A" w:rsidRDefault="0009772E" w:rsidP="001B2014">
            <w:pPr>
              <w:rPr>
                <w:rFonts w:cs="Times New Roman"/>
              </w:rPr>
            </w:pPr>
            <w:r w:rsidRPr="00A3572A">
              <w:rPr>
                <w:rFonts w:cs="Times New Roman"/>
              </w:rPr>
              <w:t>- Liczba odbiorców 12000</w:t>
            </w:r>
          </w:p>
        </w:tc>
      </w:tr>
      <w:tr w:rsidR="0009772E" w:rsidRPr="00F00FB8" w:rsidTr="001B2014">
        <w:tc>
          <w:tcPr>
            <w:tcW w:w="710" w:type="dxa"/>
            <w:tcBorders>
              <w:bottom w:val="single" w:sz="4" w:space="0" w:color="auto"/>
            </w:tcBorders>
          </w:tcPr>
          <w:p w:rsidR="0009772E" w:rsidRPr="00A3572A" w:rsidRDefault="0009772E" w:rsidP="001B2014">
            <w:pPr>
              <w:rPr>
                <w:rFonts w:cs="Times New Roman"/>
              </w:rPr>
            </w:pPr>
            <w:r w:rsidRPr="00A3572A">
              <w:rPr>
                <w:rFonts w:cs="Times New Roman"/>
              </w:rPr>
              <w:t xml:space="preserve">II </w:t>
            </w:r>
            <w:proofErr w:type="spellStart"/>
            <w:r w:rsidRPr="00A3572A">
              <w:rPr>
                <w:rFonts w:cs="Times New Roman"/>
              </w:rPr>
              <w:t>poł</w:t>
            </w:r>
            <w:proofErr w:type="spellEnd"/>
            <w:r w:rsidRPr="00A3572A">
              <w:rPr>
                <w:rFonts w:cs="Times New Roman"/>
              </w:rPr>
              <w:t>. 2021</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 xml:space="preserve">Zapewnienie informacji dla potencjalnych wnioskodawców o głównych zasadach interpretacji poszczególnych kryteriów </w:t>
            </w:r>
            <w:r w:rsidRPr="00A3572A">
              <w:rPr>
                <w:rFonts w:cs="Times New Roman"/>
              </w:rPr>
              <w:lastRenderedPageBreak/>
              <w:t>oceny używanych przez Radę LGD, w tym również o kategoriach preferowanych operacji w największym stopniu realizujących założenia LSR</w:t>
            </w:r>
          </w:p>
        </w:tc>
        <w:tc>
          <w:tcPr>
            <w:tcW w:w="1985" w:type="dxa"/>
            <w:gridSpan w:val="2"/>
            <w:tcBorders>
              <w:bottom w:val="single" w:sz="4" w:space="0" w:color="auto"/>
            </w:tcBorders>
          </w:tcPr>
          <w:p w:rsidR="0009772E" w:rsidRPr="006761D4" w:rsidRDefault="0009772E" w:rsidP="001B2014">
            <w:pPr>
              <w:rPr>
                <w:rFonts w:cs="Times New Roman"/>
              </w:rPr>
            </w:pPr>
            <w:r w:rsidRPr="006761D4">
              <w:rPr>
                <w:rFonts w:cs="Times New Roman"/>
              </w:rPr>
              <w:lastRenderedPageBreak/>
              <w:t xml:space="preserve">Spotkania nt. zasad oceniania i wyboru operacji przez LGD z elementami warsztatów oraz imprezy/działania </w:t>
            </w:r>
            <w:r w:rsidRPr="006761D4">
              <w:rPr>
                <w:rFonts w:cs="Times New Roman"/>
              </w:rPr>
              <w:lastRenderedPageBreak/>
              <w:t>promujące</w:t>
            </w:r>
          </w:p>
        </w:tc>
        <w:tc>
          <w:tcPr>
            <w:tcW w:w="2126" w:type="dxa"/>
            <w:tcBorders>
              <w:bottom w:val="single" w:sz="4" w:space="0" w:color="auto"/>
            </w:tcBorders>
          </w:tcPr>
          <w:p w:rsidR="0009772E" w:rsidRPr="006761D4" w:rsidRDefault="0009772E" w:rsidP="001B2014">
            <w:pPr>
              <w:rPr>
                <w:rFonts w:cs="Times New Roman"/>
              </w:rPr>
            </w:pPr>
            <w:r w:rsidRPr="006761D4">
              <w:rPr>
                <w:rFonts w:cs="Times New Roman"/>
              </w:rPr>
              <w:lastRenderedPageBreak/>
              <w:t xml:space="preserve">- wszyscy potencjalni wnioskodawcy, w tym przedsiębiorcy, rolnicy, organizacje pozarządowe i pozostali mieszkańcy </w:t>
            </w:r>
            <w:r w:rsidRPr="006761D4">
              <w:rPr>
                <w:rFonts w:cs="Times New Roman"/>
              </w:rPr>
              <w:lastRenderedPageBreak/>
              <w:t xml:space="preserve">obszaru, w tym przedstawiciele grup </w:t>
            </w:r>
            <w:proofErr w:type="spellStart"/>
            <w:r w:rsidRPr="006761D4">
              <w:rPr>
                <w:rFonts w:cs="Times New Roman"/>
              </w:rPr>
              <w:t>defaworyzowanych</w:t>
            </w:r>
            <w:proofErr w:type="spellEnd"/>
            <w:r w:rsidRPr="006761D4">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lastRenderedPageBreak/>
              <w:t>- ogłoszenia w prasie/artykuły 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działania promujące LSR</w:t>
            </w:r>
          </w:p>
          <w:p w:rsidR="0009772E" w:rsidRPr="00A3572A" w:rsidRDefault="0009772E" w:rsidP="001B2014">
            <w:pPr>
              <w:rPr>
                <w:rFonts w:cs="Times New Roman"/>
              </w:rPr>
            </w:pPr>
            <w:r>
              <w:rPr>
                <w:rFonts w:cs="Times New Roman"/>
              </w:rPr>
              <w:lastRenderedPageBreak/>
              <w:t>-</w:t>
            </w:r>
            <w:r w:rsidRPr="00A3572A">
              <w:rPr>
                <w:rFonts w:cs="Times New Roman"/>
              </w:rPr>
              <w:t>impreza promocyjna</w:t>
            </w:r>
          </w:p>
          <w:p w:rsidR="0009772E" w:rsidRPr="00A3572A" w:rsidRDefault="0009772E" w:rsidP="001B2014">
            <w:pPr>
              <w:rPr>
                <w:rFonts w:cs="Times New Roman"/>
              </w:rPr>
            </w:pPr>
            <w:r w:rsidRPr="00A3572A">
              <w:rPr>
                <w:rFonts w:cs="Times New Roman"/>
              </w:rPr>
              <w:t>- plakaty</w:t>
            </w:r>
          </w:p>
          <w:p w:rsidR="0009772E" w:rsidRPr="00A3572A" w:rsidRDefault="0009772E" w:rsidP="001B2014">
            <w:pPr>
              <w:rPr>
                <w:rFonts w:cs="Times New Roman"/>
              </w:rPr>
            </w:pPr>
          </w:p>
          <w:p w:rsidR="0009772E" w:rsidRPr="00A3572A" w:rsidRDefault="0009772E" w:rsidP="001B2014">
            <w:pPr>
              <w:rPr>
                <w:rFonts w:cs="Times New Roman"/>
              </w:rPr>
            </w:pP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cs="Times New Roman"/>
              </w:rPr>
              <w:lastRenderedPageBreak/>
              <w:t>- Liczba ogłoszeń w prasie – 3</w:t>
            </w:r>
          </w:p>
          <w:p w:rsidR="0009772E" w:rsidRPr="00A3572A" w:rsidRDefault="0009772E" w:rsidP="001B2014">
            <w:pPr>
              <w:rPr>
                <w:rFonts w:cs="Times New Roman"/>
              </w:rPr>
            </w:pPr>
          </w:p>
          <w:p w:rsidR="0009772E" w:rsidRPr="00A3572A" w:rsidRDefault="0009772E" w:rsidP="001B2014">
            <w:pPr>
              <w:rPr>
                <w:rFonts w:cs="Times New Roman"/>
              </w:rPr>
            </w:pPr>
            <w:r w:rsidRPr="00A3572A">
              <w:rPr>
                <w:rFonts w:cs="Times New Roman"/>
              </w:rPr>
              <w:t>- Liczba artykułów sponsorowanych – 2</w:t>
            </w:r>
          </w:p>
          <w:p w:rsidR="0009772E" w:rsidRPr="00A3572A" w:rsidRDefault="0009772E" w:rsidP="001B2014">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 2</w:t>
            </w:r>
          </w:p>
          <w:p w:rsidR="0009772E" w:rsidRPr="00A3572A" w:rsidRDefault="0009772E" w:rsidP="001B2014">
            <w:pPr>
              <w:rPr>
                <w:rFonts w:cs="Times New Roman"/>
              </w:rPr>
            </w:pPr>
            <w:r w:rsidRPr="00A3572A">
              <w:rPr>
                <w:rFonts w:cs="Times New Roman"/>
              </w:rPr>
              <w:lastRenderedPageBreak/>
              <w:t>- Liczba zorganizowanych działań promujących LSR</w:t>
            </w:r>
            <w:r>
              <w:rPr>
                <w:rFonts w:cs="Times New Roman"/>
              </w:rPr>
              <w:t>*</w:t>
            </w:r>
            <w:r w:rsidRPr="00A3572A">
              <w:rPr>
                <w:rFonts w:cs="Times New Roman"/>
              </w:rPr>
              <w:t xml:space="preserve"> – 1</w:t>
            </w:r>
          </w:p>
          <w:p w:rsidR="0009772E" w:rsidRPr="00A3572A" w:rsidRDefault="0009772E" w:rsidP="001B2014">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 1 </w:t>
            </w:r>
          </w:p>
          <w:p w:rsidR="0009772E" w:rsidRPr="00A3572A" w:rsidRDefault="0009772E" w:rsidP="001B2014">
            <w:pPr>
              <w:rPr>
                <w:rFonts w:cs="Times New Roman"/>
              </w:rPr>
            </w:pPr>
            <w:r w:rsidRPr="00A3572A">
              <w:rPr>
                <w:rFonts w:cs="Times New Roman"/>
              </w:rPr>
              <w:t xml:space="preserve">- Liczba wydanych plakatów – 350 </w:t>
            </w:r>
          </w:p>
        </w:tc>
        <w:tc>
          <w:tcPr>
            <w:tcW w:w="1843" w:type="dxa"/>
            <w:tcBorders>
              <w:bottom w:val="single" w:sz="4" w:space="0" w:color="auto"/>
            </w:tcBorders>
          </w:tcPr>
          <w:p w:rsidR="0009772E" w:rsidRPr="00A3572A" w:rsidRDefault="0009772E" w:rsidP="001B2014">
            <w:pPr>
              <w:snapToGrid w:val="0"/>
              <w:spacing w:line="100" w:lineRule="atLeast"/>
              <w:rPr>
                <w:rFonts w:cs="Times New Roman"/>
              </w:rPr>
            </w:pPr>
            <w:r w:rsidRPr="00A3572A">
              <w:rPr>
                <w:rFonts w:cs="Times New Roman"/>
              </w:rPr>
              <w:lastRenderedPageBreak/>
              <w:t>- Liczba odbiorców 12000</w:t>
            </w:r>
          </w:p>
          <w:p w:rsidR="0009772E" w:rsidRPr="00A3572A" w:rsidRDefault="0009772E" w:rsidP="001B2014">
            <w:pPr>
              <w:snapToGrid w:val="0"/>
              <w:spacing w:line="100" w:lineRule="atLeast"/>
              <w:rPr>
                <w:rFonts w:cs="Times New Roman"/>
              </w:rPr>
            </w:pPr>
            <w:r w:rsidRPr="00A3572A">
              <w:rPr>
                <w:rFonts w:cs="Times New Roman"/>
              </w:rPr>
              <w:t>- Liczba odbiorców 8000</w:t>
            </w:r>
          </w:p>
          <w:p w:rsidR="0009772E" w:rsidRDefault="0009772E" w:rsidP="001B2014">
            <w:pPr>
              <w:snapToGrid w:val="0"/>
              <w:spacing w:line="100" w:lineRule="atLeast"/>
              <w:rPr>
                <w:rFonts w:cs="Times New Roman"/>
              </w:rPr>
            </w:pPr>
            <w:r w:rsidRPr="00A3572A">
              <w:rPr>
                <w:rFonts w:cs="Times New Roman"/>
              </w:rPr>
              <w:t>- Liczba odbiorców 50</w:t>
            </w:r>
          </w:p>
          <w:p w:rsidR="0009772E" w:rsidRPr="00A3572A" w:rsidRDefault="0009772E" w:rsidP="001B2014">
            <w:pPr>
              <w:snapToGrid w:val="0"/>
              <w:spacing w:line="100" w:lineRule="atLeast"/>
              <w:rPr>
                <w:rFonts w:cs="Times New Roman"/>
              </w:rPr>
            </w:pPr>
            <w:r w:rsidRPr="00A3572A">
              <w:rPr>
                <w:rFonts w:cs="Times New Roman"/>
              </w:rPr>
              <w:lastRenderedPageBreak/>
              <w:t>- Liczba odbiorców 250</w:t>
            </w:r>
          </w:p>
          <w:p w:rsidR="0009772E" w:rsidRPr="00A3572A" w:rsidRDefault="0009772E" w:rsidP="001B2014">
            <w:pPr>
              <w:snapToGrid w:val="0"/>
              <w:spacing w:line="100" w:lineRule="atLeast"/>
              <w:rPr>
                <w:rFonts w:cs="Times New Roman"/>
              </w:rPr>
            </w:pPr>
            <w:r w:rsidRPr="00A3572A">
              <w:rPr>
                <w:rFonts w:cs="Times New Roman"/>
              </w:rPr>
              <w:t>- Liczba odbiorców 400</w:t>
            </w:r>
          </w:p>
          <w:p w:rsidR="0009772E" w:rsidRPr="00A3572A" w:rsidRDefault="0009772E" w:rsidP="001B2014">
            <w:pPr>
              <w:snapToGrid w:val="0"/>
              <w:spacing w:line="100" w:lineRule="atLeast"/>
              <w:rPr>
                <w:rFonts w:eastAsia="DejaVuSans" w:cs="Calibri"/>
              </w:rPr>
            </w:pPr>
            <w:r>
              <w:rPr>
                <w:rFonts w:cs="Times New Roman"/>
              </w:rPr>
              <w:t xml:space="preserve">- Liczba odbiorców </w:t>
            </w:r>
            <w:r w:rsidRPr="00A3572A">
              <w:rPr>
                <w:rFonts w:cs="Times New Roman"/>
              </w:rPr>
              <w:t>10500</w:t>
            </w:r>
          </w:p>
        </w:tc>
      </w:tr>
      <w:tr w:rsidR="0009772E" w:rsidRPr="00F00FB8" w:rsidTr="001B2014">
        <w:tc>
          <w:tcPr>
            <w:tcW w:w="710" w:type="dxa"/>
            <w:tcBorders>
              <w:bottom w:val="single" w:sz="4" w:space="0" w:color="auto"/>
            </w:tcBorders>
          </w:tcPr>
          <w:p w:rsidR="0009772E" w:rsidRPr="004D6A6B" w:rsidRDefault="0009772E" w:rsidP="001B2014">
            <w:pPr>
              <w:rPr>
                <w:rFonts w:cs="Times New Roman"/>
              </w:rPr>
            </w:pPr>
            <w:r w:rsidRPr="004D6A6B">
              <w:rPr>
                <w:rFonts w:cs="Times New Roman"/>
              </w:rPr>
              <w:lastRenderedPageBreak/>
              <w:t xml:space="preserve">II </w:t>
            </w:r>
            <w:proofErr w:type="spellStart"/>
            <w:r w:rsidRPr="004D6A6B">
              <w:rPr>
                <w:rFonts w:cs="Times New Roman"/>
              </w:rPr>
              <w:t>poł</w:t>
            </w:r>
            <w:proofErr w:type="spellEnd"/>
            <w:r w:rsidRPr="004D6A6B">
              <w:rPr>
                <w:rFonts w:cs="Times New Roman"/>
              </w:rPr>
              <w:t>. 2021</w:t>
            </w:r>
          </w:p>
        </w:tc>
        <w:tc>
          <w:tcPr>
            <w:tcW w:w="2551" w:type="dxa"/>
            <w:tcBorders>
              <w:bottom w:val="single" w:sz="4" w:space="0" w:color="auto"/>
            </w:tcBorders>
          </w:tcPr>
          <w:p w:rsidR="0009772E" w:rsidRPr="004D6A6B" w:rsidRDefault="0009772E" w:rsidP="001B2014">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985" w:type="dxa"/>
            <w:gridSpan w:val="2"/>
            <w:tcBorders>
              <w:bottom w:val="single" w:sz="4" w:space="0" w:color="auto"/>
            </w:tcBorders>
          </w:tcPr>
          <w:p w:rsidR="0009772E" w:rsidRPr="004D6A6B" w:rsidRDefault="0009772E" w:rsidP="001B2014">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6" w:type="dxa"/>
            <w:tcBorders>
              <w:bottom w:val="single" w:sz="4" w:space="0" w:color="auto"/>
            </w:tcBorders>
          </w:tcPr>
          <w:p w:rsidR="0009772E" w:rsidRPr="004D6A6B" w:rsidRDefault="0009772E" w:rsidP="001B2014">
            <w:pPr>
              <w:rPr>
                <w:rFonts w:cs="Times New Roman"/>
              </w:rPr>
            </w:pPr>
            <w:r w:rsidRPr="004D6A6B">
              <w:rPr>
                <w:rFonts w:cs="Times New Roman"/>
              </w:rPr>
              <w:t>- wnioskodawcy oraz beneficjenci pomocy na różnych etapach realizacji operacji w ramach LSR</w:t>
            </w:r>
          </w:p>
        </w:tc>
        <w:tc>
          <w:tcPr>
            <w:tcW w:w="2835" w:type="dxa"/>
            <w:tcBorders>
              <w:bottom w:val="single" w:sz="4" w:space="0" w:color="auto"/>
            </w:tcBorders>
          </w:tcPr>
          <w:p w:rsidR="0009772E" w:rsidRPr="004D6A6B" w:rsidRDefault="0009772E" w:rsidP="001B2014">
            <w:pPr>
              <w:rPr>
                <w:rFonts w:cs="Times New Roman"/>
              </w:rPr>
            </w:pPr>
            <w:r w:rsidRPr="004D6A6B">
              <w:rPr>
                <w:rFonts w:cs="Times New Roman"/>
              </w:rPr>
              <w:t>- ankiety elektroniczne rozsyłane do wnioskodawców</w:t>
            </w:r>
          </w:p>
          <w:p w:rsidR="0009772E" w:rsidRPr="004D6A6B" w:rsidRDefault="0009772E" w:rsidP="001B2014">
            <w:pPr>
              <w:rPr>
                <w:rFonts w:cs="Times New Roman"/>
              </w:rPr>
            </w:pPr>
            <w:r w:rsidRPr="004D6A6B">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4D6A6B" w:rsidRDefault="0009772E" w:rsidP="001B2014">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w:t>
            </w:r>
            <w:proofErr w:type="spellStart"/>
            <w:r w:rsidRPr="004D6A6B">
              <w:rPr>
                <w:rFonts w:ascii="Calibri" w:eastAsia="Calibri" w:hAnsi="Calibri" w:cs="Calibri"/>
              </w:rPr>
              <w:t>on-line</w:t>
            </w:r>
            <w:proofErr w:type="spellEnd"/>
            <w:r w:rsidRPr="004D6A6B">
              <w:rPr>
                <w:rFonts w:ascii="Calibri" w:eastAsia="Calibri" w:hAnsi="Calibri" w:cs="Calibri"/>
              </w:rPr>
              <w:t xml:space="preserv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3" w:type="dxa"/>
            <w:tcBorders>
              <w:bottom w:val="single" w:sz="4" w:space="0" w:color="auto"/>
            </w:tcBorders>
          </w:tcPr>
          <w:p w:rsidR="0009772E" w:rsidRPr="004D6A6B" w:rsidRDefault="0009772E" w:rsidP="001B2014">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09772E" w:rsidRPr="004D6A6B"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2022</w:t>
            </w:r>
          </w:p>
        </w:tc>
      </w:tr>
      <w:tr w:rsidR="0009772E" w:rsidRPr="00F00FB8" w:rsidTr="001B2014">
        <w:tc>
          <w:tcPr>
            <w:tcW w:w="710" w:type="dxa"/>
            <w:tcBorders>
              <w:bottom w:val="single" w:sz="4" w:space="0" w:color="auto"/>
            </w:tcBorders>
          </w:tcPr>
          <w:p w:rsidR="0009772E" w:rsidRPr="00A3572A" w:rsidRDefault="0009772E" w:rsidP="001B2014">
            <w:pPr>
              <w:rPr>
                <w:rFonts w:cs="Times New Roman"/>
              </w:rPr>
            </w:pPr>
            <w:r w:rsidRPr="00A3572A">
              <w:rPr>
                <w:rFonts w:cs="Times New Roman"/>
              </w:rPr>
              <w:t xml:space="preserve">I </w:t>
            </w:r>
            <w:proofErr w:type="spellStart"/>
            <w:r w:rsidRPr="00A3572A">
              <w:rPr>
                <w:rFonts w:cs="Times New Roman"/>
              </w:rPr>
              <w:t>poł</w:t>
            </w:r>
            <w:proofErr w:type="spellEnd"/>
            <w:r w:rsidRPr="00A3572A">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843" w:type="dxa"/>
            <w:tcBorders>
              <w:bottom w:val="single" w:sz="4" w:space="0" w:color="auto"/>
            </w:tcBorders>
          </w:tcPr>
          <w:p w:rsidR="0009772E" w:rsidRPr="006761D4" w:rsidRDefault="0009772E" w:rsidP="001B2014">
            <w:pPr>
              <w:rPr>
                <w:rFonts w:cs="Times New Roman"/>
              </w:rPr>
            </w:pPr>
            <w:r w:rsidRPr="006761D4">
              <w:rPr>
                <w:rFonts w:cs="Times New Roman"/>
              </w:rPr>
              <w:t>Spotkania nt. zasad oceniania i wyboru operacji przez LGD z elementami warsztatów oraz imprezy/działania promujące</w:t>
            </w:r>
          </w:p>
        </w:tc>
        <w:tc>
          <w:tcPr>
            <w:tcW w:w="2268" w:type="dxa"/>
            <w:gridSpan w:val="2"/>
            <w:tcBorders>
              <w:bottom w:val="single" w:sz="4" w:space="0" w:color="auto"/>
            </w:tcBorders>
          </w:tcPr>
          <w:p w:rsidR="0009772E" w:rsidRPr="006761D4" w:rsidRDefault="0009772E" w:rsidP="001B2014">
            <w:pPr>
              <w:rPr>
                <w:rFonts w:cs="Times New Roman"/>
              </w:rPr>
            </w:pPr>
            <w:r w:rsidRPr="006761D4">
              <w:rPr>
                <w:rFonts w:cs="Times New Roman"/>
              </w:rPr>
              <w:t xml:space="preserve">- wszyscy potencjalni wnioskodawcy, w tym przedsiębiorcy, rolnicy, organizacje pozarządowe i pozostali mieszkańcy obszaru, w tym przedstawiciele grup </w:t>
            </w:r>
            <w:proofErr w:type="spellStart"/>
            <w:r w:rsidRPr="006761D4">
              <w:rPr>
                <w:rFonts w:cs="Times New Roman"/>
              </w:rPr>
              <w:t>defaworyzowanych</w:t>
            </w:r>
            <w:proofErr w:type="spellEnd"/>
            <w:r w:rsidRPr="006761D4">
              <w:rPr>
                <w:rFonts w:cs="Times New Roman"/>
              </w:rPr>
              <w:t xml:space="preserve"> </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ogłoszenia w prasie/artykuły sponsorowane</w:t>
            </w:r>
          </w:p>
          <w:p w:rsidR="0009772E" w:rsidRPr="00A3572A" w:rsidRDefault="0009772E" w:rsidP="001B2014">
            <w:pPr>
              <w:rPr>
                <w:rFonts w:cs="Times New Roman"/>
              </w:rPr>
            </w:pPr>
            <w:r w:rsidRPr="00A3572A">
              <w:rPr>
                <w:rFonts w:cs="Times New Roman"/>
              </w:rPr>
              <w:t>- spotkania informacyjno-konsultacyjne</w:t>
            </w:r>
          </w:p>
          <w:p w:rsidR="0009772E" w:rsidRPr="00A3572A" w:rsidRDefault="0009772E" w:rsidP="001B2014">
            <w:pPr>
              <w:rPr>
                <w:rFonts w:cs="Times New Roman"/>
              </w:rPr>
            </w:pPr>
            <w:r w:rsidRPr="00A3572A">
              <w:rPr>
                <w:rFonts w:cs="Times New Roman"/>
              </w:rPr>
              <w:t>- działania promujące LSR</w:t>
            </w:r>
          </w:p>
          <w:p w:rsidR="0009772E" w:rsidRPr="00A3572A" w:rsidRDefault="0009772E" w:rsidP="001B2014">
            <w:pPr>
              <w:rPr>
                <w:rFonts w:cs="Times New Roman"/>
              </w:rPr>
            </w:pPr>
            <w:r w:rsidRPr="00A3572A">
              <w:rPr>
                <w:rFonts w:cs="Times New Roman"/>
              </w:rPr>
              <w:t>- impreza promocyjna</w:t>
            </w:r>
          </w:p>
          <w:p w:rsidR="0009772E" w:rsidRPr="00A3572A" w:rsidRDefault="0009772E" w:rsidP="001B2014">
            <w:pPr>
              <w:rPr>
                <w:rFonts w:cs="Times New Roman"/>
              </w:rPr>
            </w:pPr>
            <w:r w:rsidRPr="00A3572A">
              <w:rPr>
                <w:rFonts w:cs="Times New Roman"/>
              </w:rPr>
              <w:t>- ulotki</w:t>
            </w:r>
          </w:p>
          <w:p w:rsidR="0009772E" w:rsidRPr="00A3572A" w:rsidRDefault="0009772E" w:rsidP="001B2014">
            <w:pPr>
              <w:rPr>
                <w:rFonts w:cs="Times New Roman"/>
              </w:rPr>
            </w:pPr>
            <w:r w:rsidRPr="00A3572A">
              <w:rPr>
                <w:rFonts w:cs="Times New Roman"/>
              </w:rPr>
              <w:t>- folder „Dobre praktyki”</w:t>
            </w:r>
          </w:p>
          <w:p w:rsidR="0009772E" w:rsidRPr="00A3572A" w:rsidRDefault="0009772E" w:rsidP="001B2014">
            <w:pPr>
              <w:rPr>
                <w:rFonts w:cs="Times New Roman"/>
              </w:rPr>
            </w:pPr>
          </w:p>
        </w:tc>
        <w:tc>
          <w:tcPr>
            <w:tcW w:w="3260" w:type="dxa"/>
            <w:gridSpan w:val="2"/>
            <w:tcBorders>
              <w:bottom w:val="single" w:sz="4" w:space="0" w:color="auto"/>
            </w:tcBorders>
          </w:tcPr>
          <w:p w:rsidR="0009772E" w:rsidRPr="004D6A6B" w:rsidRDefault="0009772E" w:rsidP="001B2014">
            <w:pPr>
              <w:rPr>
                <w:rFonts w:cs="Times New Roman"/>
              </w:rPr>
            </w:pPr>
            <w:r w:rsidRPr="004D6A6B">
              <w:rPr>
                <w:rFonts w:cs="Times New Roman"/>
              </w:rPr>
              <w:t>- Liczba ogłoszeń w lokalnej prasie – 5</w:t>
            </w:r>
          </w:p>
          <w:p w:rsidR="0009772E" w:rsidRPr="004D6A6B" w:rsidRDefault="0009772E" w:rsidP="001B2014">
            <w:pPr>
              <w:rPr>
                <w:rFonts w:cs="Times New Roman"/>
              </w:rPr>
            </w:pPr>
            <w:r w:rsidRPr="004D6A6B">
              <w:rPr>
                <w:rFonts w:cs="Times New Roman"/>
              </w:rPr>
              <w:t>- Liczba artykułów sponsorowanych w lokalnej prasie – 2</w:t>
            </w:r>
          </w:p>
          <w:p w:rsidR="0009772E" w:rsidRPr="004D6A6B" w:rsidRDefault="0009772E" w:rsidP="001B2014">
            <w:pPr>
              <w:rPr>
                <w:rFonts w:cs="Times New Roman"/>
              </w:rPr>
            </w:pPr>
            <w:r w:rsidRPr="004D6A6B">
              <w:rPr>
                <w:rFonts w:cs="Times New Roman"/>
              </w:rPr>
              <w:t>- Liczba wydanych ulotek – 400</w:t>
            </w:r>
          </w:p>
          <w:p w:rsidR="0009772E" w:rsidRPr="004D6A6B" w:rsidRDefault="0009772E" w:rsidP="001B2014">
            <w:pPr>
              <w:rPr>
                <w:rFonts w:cs="Times New Roman"/>
              </w:rPr>
            </w:pPr>
          </w:p>
          <w:p w:rsidR="0009772E" w:rsidRPr="004D6A6B" w:rsidRDefault="0009772E" w:rsidP="001B2014">
            <w:pPr>
              <w:rPr>
                <w:rFonts w:cs="Times New Roman"/>
              </w:rPr>
            </w:pPr>
            <w:r w:rsidRPr="004D6A6B">
              <w:rPr>
                <w:rFonts w:cs="Times New Roman"/>
              </w:rPr>
              <w:t xml:space="preserve">- Liczba wydanych folderów „Dobre praktyki” – 2500 </w:t>
            </w:r>
          </w:p>
          <w:p w:rsidR="0009772E" w:rsidRPr="004D6A6B" w:rsidRDefault="0009772E" w:rsidP="001B2014">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4 </w:t>
            </w:r>
          </w:p>
          <w:p w:rsidR="0009772E" w:rsidRPr="004D6A6B" w:rsidRDefault="0009772E" w:rsidP="001B2014">
            <w:pPr>
              <w:rPr>
                <w:rFonts w:cs="Times New Roman"/>
              </w:rPr>
            </w:pPr>
            <w:r w:rsidRPr="004D6A6B">
              <w:rPr>
                <w:rFonts w:cs="Times New Roman"/>
              </w:rPr>
              <w:t>- Liczba zorganizowanych działań promujących LSR</w:t>
            </w:r>
            <w:r>
              <w:rPr>
                <w:rFonts w:cs="Times New Roman"/>
              </w:rPr>
              <w:t>*</w:t>
            </w:r>
            <w:r w:rsidRPr="004D6A6B">
              <w:rPr>
                <w:rFonts w:cs="Times New Roman"/>
              </w:rPr>
              <w:t xml:space="preserve"> – 1</w:t>
            </w:r>
          </w:p>
          <w:p w:rsidR="0009772E" w:rsidRPr="004D6A6B" w:rsidRDefault="0009772E" w:rsidP="001B2014">
            <w:pPr>
              <w:rPr>
                <w:rFonts w:cs="Times New Roman"/>
              </w:rPr>
            </w:pPr>
            <w:r w:rsidRPr="004D6A6B">
              <w:rPr>
                <w:rFonts w:cs="Times New Roman"/>
              </w:rPr>
              <w:t xml:space="preserve">- Liczba zorganizowanych imprez </w:t>
            </w:r>
            <w:r w:rsidRPr="004D6A6B">
              <w:rPr>
                <w:rFonts w:cs="Times New Roman"/>
              </w:rPr>
              <w:lastRenderedPageBreak/>
              <w:t>promocyjnych</w:t>
            </w:r>
            <w:r>
              <w:rPr>
                <w:rFonts w:cs="Times New Roman"/>
              </w:rPr>
              <w:t>*</w:t>
            </w:r>
            <w:r w:rsidRPr="004D6A6B">
              <w:rPr>
                <w:rFonts w:cs="Times New Roman"/>
              </w:rPr>
              <w:t xml:space="preserve"> – 1 </w:t>
            </w:r>
          </w:p>
        </w:tc>
        <w:tc>
          <w:tcPr>
            <w:tcW w:w="1843" w:type="dxa"/>
            <w:tcBorders>
              <w:bottom w:val="single" w:sz="4" w:space="0" w:color="auto"/>
            </w:tcBorders>
          </w:tcPr>
          <w:p w:rsidR="0009772E" w:rsidRPr="004D6A6B" w:rsidRDefault="0009772E" w:rsidP="001B2014">
            <w:pPr>
              <w:snapToGrid w:val="0"/>
              <w:spacing w:line="100" w:lineRule="atLeast"/>
              <w:rPr>
                <w:rFonts w:cs="Times New Roman"/>
              </w:rPr>
            </w:pPr>
            <w:r w:rsidRPr="004D6A6B">
              <w:rPr>
                <w:rFonts w:cs="Times New Roman"/>
              </w:rPr>
              <w:lastRenderedPageBreak/>
              <w:t>- Liczba odbiorców 20000</w:t>
            </w:r>
          </w:p>
          <w:p w:rsidR="0009772E" w:rsidRPr="004D6A6B" w:rsidRDefault="0009772E" w:rsidP="001B2014">
            <w:pPr>
              <w:snapToGrid w:val="0"/>
              <w:spacing w:line="100" w:lineRule="atLeast"/>
              <w:rPr>
                <w:rFonts w:cs="Times New Roman"/>
              </w:rPr>
            </w:pPr>
            <w:r w:rsidRPr="004D6A6B">
              <w:rPr>
                <w:rFonts w:cs="Times New Roman"/>
              </w:rPr>
              <w:t>- Liczba odbiorców 8000</w:t>
            </w:r>
          </w:p>
          <w:p w:rsidR="0009772E" w:rsidRPr="004D6A6B" w:rsidRDefault="0009772E" w:rsidP="001B2014">
            <w:pPr>
              <w:snapToGrid w:val="0"/>
              <w:spacing w:line="100" w:lineRule="atLeast"/>
              <w:rPr>
                <w:rFonts w:cs="Times New Roman"/>
              </w:rPr>
            </w:pPr>
          </w:p>
          <w:p w:rsidR="0009772E" w:rsidRPr="004D6A6B" w:rsidRDefault="0009772E" w:rsidP="001B2014">
            <w:pPr>
              <w:snapToGrid w:val="0"/>
              <w:spacing w:line="100" w:lineRule="atLeast"/>
              <w:rPr>
                <w:rFonts w:ascii="Times New Roman" w:eastAsia="DejaVuSans" w:hAnsi="Times New Roman" w:cs="Times New Roman"/>
                <w:sz w:val="24"/>
                <w:szCs w:val="24"/>
              </w:rPr>
            </w:pPr>
            <w:r w:rsidRPr="004D6A6B">
              <w:rPr>
                <w:rFonts w:cs="Times New Roman"/>
              </w:rPr>
              <w:t>- Liczba odbiorców 400</w:t>
            </w:r>
          </w:p>
          <w:p w:rsidR="0009772E" w:rsidRPr="004D6A6B" w:rsidRDefault="0009772E" w:rsidP="001B2014">
            <w:pPr>
              <w:snapToGrid w:val="0"/>
              <w:spacing w:line="100" w:lineRule="atLeast"/>
              <w:rPr>
                <w:rFonts w:cs="Times New Roman"/>
              </w:rPr>
            </w:pPr>
            <w:r w:rsidRPr="004D6A6B">
              <w:rPr>
                <w:rFonts w:cs="Times New Roman"/>
              </w:rPr>
              <w:t>- Liczba odbiorców 2500</w:t>
            </w:r>
          </w:p>
          <w:p w:rsidR="0009772E" w:rsidRPr="004D6A6B" w:rsidRDefault="0009772E" w:rsidP="001B2014">
            <w:pPr>
              <w:snapToGrid w:val="0"/>
              <w:spacing w:line="100" w:lineRule="atLeast"/>
              <w:rPr>
                <w:rFonts w:cs="Times New Roman"/>
              </w:rPr>
            </w:pPr>
            <w:r w:rsidRPr="004D6A6B">
              <w:rPr>
                <w:rFonts w:cs="Times New Roman"/>
              </w:rPr>
              <w:t>- Liczba odbiorców 100</w:t>
            </w:r>
          </w:p>
          <w:p w:rsidR="0009772E" w:rsidRPr="004D6A6B" w:rsidRDefault="0009772E" w:rsidP="001B2014">
            <w:pPr>
              <w:snapToGrid w:val="0"/>
              <w:spacing w:line="100" w:lineRule="atLeast"/>
              <w:rPr>
                <w:rFonts w:cs="Times New Roman"/>
              </w:rPr>
            </w:pPr>
            <w:r w:rsidRPr="004D6A6B">
              <w:rPr>
                <w:rFonts w:cs="Times New Roman"/>
              </w:rPr>
              <w:t>- Liczba odbiorców 250</w:t>
            </w:r>
          </w:p>
          <w:p w:rsidR="0009772E" w:rsidRPr="004D6A6B" w:rsidRDefault="0009772E" w:rsidP="001B2014">
            <w:pPr>
              <w:snapToGrid w:val="0"/>
              <w:spacing w:line="100" w:lineRule="atLeast"/>
              <w:rPr>
                <w:rFonts w:eastAsia="DejaVuSans" w:cs="Calibri"/>
              </w:rPr>
            </w:pPr>
            <w:r w:rsidRPr="004D6A6B">
              <w:rPr>
                <w:rFonts w:cs="Times New Roman"/>
              </w:rPr>
              <w:t xml:space="preserve">- Liczba </w:t>
            </w:r>
            <w:r w:rsidRPr="004D6A6B">
              <w:rPr>
                <w:rFonts w:cs="Times New Roman"/>
              </w:rPr>
              <w:lastRenderedPageBreak/>
              <w:t>odbiorców 400</w:t>
            </w:r>
          </w:p>
        </w:tc>
      </w:tr>
      <w:tr w:rsidR="0009772E" w:rsidRPr="00F00FB8" w:rsidTr="001B2014">
        <w:tc>
          <w:tcPr>
            <w:tcW w:w="710" w:type="dxa"/>
          </w:tcPr>
          <w:p w:rsidR="0009772E" w:rsidRPr="003B4569" w:rsidRDefault="0009772E" w:rsidP="001B2014">
            <w:pPr>
              <w:rPr>
                <w:rFonts w:cs="Times New Roman"/>
              </w:rPr>
            </w:pPr>
            <w:r w:rsidRPr="003B4569">
              <w:rPr>
                <w:rFonts w:cs="Times New Roman"/>
              </w:rPr>
              <w:lastRenderedPageBreak/>
              <w:t xml:space="preserve">II </w:t>
            </w:r>
            <w:proofErr w:type="spellStart"/>
            <w:r w:rsidRPr="003B4569">
              <w:rPr>
                <w:rFonts w:cs="Times New Roman"/>
              </w:rPr>
              <w:t>poł</w:t>
            </w:r>
            <w:proofErr w:type="spellEnd"/>
            <w:r w:rsidRPr="003B4569">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Poinformowanie ogółu społeczeństwa o rezultatach wdrażania LSR na lata 2014-2020, w tym o stopniu osiągnięcia celów</w:t>
            </w:r>
            <w:r w:rsidRPr="00A3572A">
              <w:rPr>
                <w:rFonts w:cs="Times New Roman"/>
              </w:rPr>
              <w:br/>
              <w:t>i wskaźników, wyniki bieżącego monitoringu i działań ewaluacyjnych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Kampania informacyjna nt. głównych efektów realizacji LSR, w tym o stopniu osiągniętych wskaźników, wynikach działań ewaluacyjnych</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835" w:type="dxa"/>
            <w:tcBorders>
              <w:bottom w:val="single" w:sz="4" w:space="0" w:color="auto"/>
            </w:tcBorders>
          </w:tcPr>
          <w:p w:rsidR="0009772E" w:rsidRPr="006761D4" w:rsidRDefault="0009772E" w:rsidP="001B2014">
            <w:pPr>
              <w:rPr>
                <w:rFonts w:cs="Times New Roman"/>
              </w:rPr>
            </w:pPr>
            <w:r w:rsidRPr="006761D4">
              <w:rPr>
                <w:rFonts w:cs="Times New Roman"/>
              </w:rPr>
              <w:t>- ogłoszenia w prasie/artykuły sponsorowane</w:t>
            </w:r>
          </w:p>
          <w:p w:rsidR="0009772E" w:rsidRPr="006761D4" w:rsidRDefault="0009772E" w:rsidP="001B2014">
            <w:pPr>
              <w:rPr>
                <w:rFonts w:cs="Times New Roman"/>
              </w:rPr>
            </w:pPr>
            <w:r w:rsidRPr="006761D4">
              <w:rPr>
                <w:rFonts w:cs="Times New Roman"/>
              </w:rPr>
              <w:t>- działania promujące LSR</w:t>
            </w:r>
          </w:p>
          <w:p w:rsidR="0009772E" w:rsidRPr="006761D4" w:rsidRDefault="0009772E" w:rsidP="001B2014">
            <w:pPr>
              <w:rPr>
                <w:rFonts w:cs="Times New Roman"/>
              </w:rPr>
            </w:pPr>
            <w:r w:rsidRPr="006761D4">
              <w:rPr>
                <w:rFonts w:cs="Times New Roman"/>
              </w:rPr>
              <w:t>- impreza promocyjna</w:t>
            </w:r>
          </w:p>
        </w:tc>
        <w:tc>
          <w:tcPr>
            <w:tcW w:w="3260" w:type="dxa"/>
            <w:gridSpan w:val="2"/>
            <w:tcBorders>
              <w:bottom w:val="single" w:sz="4" w:space="0" w:color="auto"/>
            </w:tcBorders>
          </w:tcPr>
          <w:p w:rsidR="0009772E" w:rsidRPr="006761D4" w:rsidRDefault="0009772E" w:rsidP="001B2014">
            <w:pPr>
              <w:rPr>
                <w:rFonts w:cs="Times New Roman"/>
              </w:rPr>
            </w:pPr>
            <w:r w:rsidRPr="006761D4">
              <w:rPr>
                <w:rFonts w:cs="Times New Roman"/>
              </w:rPr>
              <w:t>- Liczba ogłoszeń w lokalnej prasie – 5</w:t>
            </w:r>
          </w:p>
          <w:p w:rsidR="0009772E" w:rsidRPr="006761D4" w:rsidRDefault="0009772E" w:rsidP="001B2014">
            <w:pPr>
              <w:rPr>
                <w:rFonts w:cs="Times New Roman"/>
              </w:rPr>
            </w:pPr>
            <w:r w:rsidRPr="006761D4">
              <w:rPr>
                <w:rFonts w:cs="Times New Roman"/>
              </w:rPr>
              <w:t>- Liczba artykułów sponsorowanych w lokalnej prasie – 2</w:t>
            </w:r>
          </w:p>
          <w:p w:rsidR="0009772E" w:rsidRPr="006761D4" w:rsidRDefault="0009772E" w:rsidP="001B2014">
            <w:pPr>
              <w:rPr>
                <w:rFonts w:cs="Times New Roman"/>
              </w:rPr>
            </w:pPr>
            <w:r w:rsidRPr="006761D4">
              <w:rPr>
                <w:rFonts w:cs="Times New Roman"/>
              </w:rPr>
              <w:t>- Liczba zorganizowanych działań promujących LSR</w:t>
            </w:r>
            <w:r>
              <w:rPr>
                <w:rFonts w:cs="Times New Roman"/>
              </w:rPr>
              <w:t>*</w:t>
            </w:r>
            <w:r w:rsidRPr="006761D4">
              <w:rPr>
                <w:rFonts w:cs="Times New Roman"/>
              </w:rPr>
              <w:t xml:space="preserve"> – 1</w:t>
            </w:r>
          </w:p>
          <w:p w:rsidR="0009772E" w:rsidRPr="006761D4" w:rsidRDefault="0009772E" w:rsidP="001B2014">
            <w:pPr>
              <w:rPr>
                <w:rFonts w:cs="Times New Roman"/>
              </w:rPr>
            </w:pPr>
            <w:r w:rsidRPr="006761D4">
              <w:rPr>
                <w:rFonts w:cs="Times New Roman"/>
              </w:rPr>
              <w:t>- Liczba zorganizowanych imprez promocyjnych</w:t>
            </w:r>
            <w:r>
              <w:rPr>
                <w:rFonts w:cs="Times New Roman"/>
              </w:rPr>
              <w:t>*</w:t>
            </w:r>
            <w:r w:rsidRPr="006761D4">
              <w:rPr>
                <w:rFonts w:cs="Times New Roman"/>
              </w:rPr>
              <w:t xml:space="preserve"> – 1 </w:t>
            </w:r>
          </w:p>
        </w:tc>
        <w:tc>
          <w:tcPr>
            <w:tcW w:w="1843" w:type="dxa"/>
            <w:tcBorders>
              <w:bottom w:val="single" w:sz="4" w:space="0" w:color="auto"/>
            </w:tcBorders>
          </w:tcPr>
          <w:p w:rsidR="0009772E" w:rsidRPr="003B4569" w:rsidRDefault="0009772E" w:rsidP="001B2014">
            <w:pPr>
              <w:snapToGrid w:val="0"/>
              <w:spacing w:line="100" w:lineRule="atLeast"/>
              <w:rPr>
                <w:rFonts w:cs="Times New Roman"/>
              </w:rPr>
            </w:pPr>
            <w:r w:rsidRPr="003B4569">
              <w:rPr>
                <w:rFonts w:cs="Times New Roman"/>
              </w:rPr>
              <w:t>- Liczba odbiorców 20000</w:t>
            </w:r>
          </w:p>
          <w:p w:rsidR="0009772E" w:rsidRPr="003B4569" w:rsidRDefault="0009772E" w:rsidP="001B2014">
            <w:pPr>
              <w:snapToGrid w:val="0"/>
              <w:spacing w:line="100" w:lineRule="atLeast"/>
              <w:rPr>
                <w:rFonts w:cs="Times New Roman"/>
              </w:rPr>
            </w:pPr>
            <w:r w:rsidRPr="003B4569">
              <w:rPr>
                <w:rFonts w:cs="Times New Roman"/>
              </w:rPr>
              <w:t>- Liczba odbiorców 8000</w:t>
            </w:r>
          </w:p>
          <w:p w:rsidR="0009772E" w:rsidRPr="003B4569" w:rsidRDefault="0009772E" w:rsidP="001B2014">
            <w:pPr>
              <w:snapToGrid w:val="0"/>
              <w:spacing w:line="100" w:lineRule="atLeast"/>
              <w:rPr>
                <w:rFonts w:cs="Times New Roman"/>
              </w:rPr>
            </w:pPr>
          </w:p>
          <w:p w:rsidR="0009772E" w:rsidRPr="003B4569" w:rsidRDefault="0009772E" w:rsidP="001B2014">
            <w:pPr>
              <w:snapToGrid w:val="0"/>
              <w:spacing w:line="100" w:lineRule="atLeast"/>
              <w:rPr>
                <w:rFonts w:cs="Times New Roman"/>
              </w:rPr>
            </w:pPr>
            <w:r w:rsidRPr="003B4569">
              <w:rPr>
                <w:rFonts w:cs="Times New Roman"/>
              </w:rPr>
              <w:t>- Liczba odbiorców 250</w:t>
            </w:r>
          </w:p>
          <w:p w:rsidR="0009772E" w:rsidRPr="003B4569" w:rsidRDefault="0009772E" w:rsidP="001B2014">
            <w:pPr>
              <w:snapToGrid w:val="0"/>
              <w:spacing w:line="100" w:lineRule="atLeast"/>
              <w:rPr>
                <w:rFonts w:eastAsia="DejaVuSans" w:cs="Calibri"/>
              </w:rPr>
            </w:pPr>
            <w:r w:rsidRPr="003B4569">
              <w:rPr>
                <w:rFonts w:cs="Times New Roman"/>
              </w:rPr>
              <w:t>- Liczba odbiorców 400</w:t>
            </w:r>
          </w:p>
        </w:tc>
      </w:tr>
      <w:tr w:rsidR="0009772E" w:rsidRPr="00F00FB8" w:rsidTr="001B2014">
        <w:tc>
          <w:tcPr>
            <w:tcW w:w="710" w:type="dxa"/>
            <w:tcBorders>
              <w:bottom w:val="single" w:sz="4" w:space="0" w:color="auto"/>
            </w:tcBorders>
          </w:tcPr>
          <w:p w:rsidR="0009772E" w:rsidRPr="003B4569" w:rsidRDefault="0009772E" w:rsidP="001B2014">
            <w:pPr>
              <w:rPr>
                <w:rFonts w:cs="Times New Roman"/>
              </w:rPr>
            </w:pPr>
            <w:r w:rsidRPr="003B4569">
              <w:rPr>
                <w:rFonts w:cs="Times New Roman"/>
              </w:rPr>
              <w:t xml:space="preserve">II </w:t>
            </w:r>
            <w:proofErr w:type="spellStart"/>
            <w:r w:rsidRPr="003B4569">
              <w:rPr>
                <w:rFonts w:cs="Times New Roman"/>
              </w:rPr>
              <w:t>poł</w:t>
            </w:r>
            <w:proofErr w:type="spellEnd"/>
            <w:r w:rsidRPr="003B4569">
              <w:rPr>
                <w:rFonts w:cs="Times New Roman"/>
              </w:rPr>
              <w:t>. 2022</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 xml:space="preserve">Badanie satysfakcji wnioskodawców LGD dot. jakości świadczonej przez LGD pomocy na etapie </w:t>
            </w:r>
            <w:proofErr w:type="spellStart"/>
            <w:r w:rsidRPr="00A3572A">
              <w:rPr>
                <w:rFonts w:cs="Times New Roman"/>
              </w:rPr>
              <w:t>przygotow</w:t>
            </w:r>
            <w:r>
              <w:rPr>
                <w:rFonts w:cs="Times New Roman"/>
              </w:rPr>
              <w:t>-</w:t>
            </w:r>
            <w:r w:rsidRPr="00A3572A">
              <w:rPr>
                <w:rFonts w:cs="Times New Roman"/>
              </w:rPr>
              <w:t>ywania</w:t>
            </w:r>
            <w:proofErr w:type="spellEnd"/>
            <w:r w:rsidRPr="00A3572A">
              <w:rPr>
                <w:rFonts w:cs="Times New Roman"/>
              </w:rPr>
              <w:t xml:space="preserve"> i realizacji wniosków o przyznanie pomocy </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wnioskodawcy oraz beneficjenci pomocy na różnych etapach realizacji operacji w ramach LSR</w:t>
            </w:r>
          </w:p>
        </w:tc>
        <w:tc>
          <w:tcPr>
            <w:tcW w:w="2835" w:type="dxa"/>
            <w:tcBorders>
              <w:bottom w:val="single" w:sz="4" w:space="0" w:color="auto"/>
            </w:tcBorders>
          </w:tcPr>
          <w:p w:rsidR="0009772E" w:rsidRPr="00A3572A" w:rsidRDefault="0009772E" w:rsidP="001B2014">
            <w:pPr>
              <w:rPr>
                <w:rFonts w:cs="Times New Roman"/>
              </w:rPr>
            </w:pPr>
            <w:r w:rsidRPr="00A3572A">
              <w:rPr>
                <w:rFonts w:cs="Times New Roman"/>
              </w:rPr>
              <w:t>- ankiety elektroniczne rozsyłane do wnioskodawców</w:t>
            </w:r>
          </w:p>
          <w:p w:rsidR="0009772E" w:rsidRPr="00A3572A" w:rsidRDefault="0009772E" w:rsidP="001B2014">
            <w:pPr>
              <w:rPr>
                <w:rFonts w:cs="Times New Roman"/>
              </w:rPr>
            </w:pPr>
            <w:r w:rsidRPr="00A3572A">
              <w:rPr>
                <w:rFonts w:cs="Times New Roman"/>
              </w:rPr>
              <w:t>- ankiety w wersji papierowej dla osób, które nie korzystają/nie posiadają poczty email</w:t>
            </w:r>
          </w:p>
        </w:tc>
        <w:tc>
          <w:tcPr>
            <w:tcW w:w="3260" w:type="dxa"/>
            <w:gridSpan w:val="2"/>
            <w:tcBorders>
              <w:bottom w:val="single" w:sz="4" w:space="0" w:color="auto"/>
            </w:tcBorders>
          </w:tcPr>
          <w:p w:rsidR="0009772E" w:rsidRPr="00A3572A" w:rsidRDefault="0009772E" w:rsidP="001B2014">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09772E" w:rsidRPr="00A3572A" w:rsidRDefault="0009772E" w:rsidP="001B2014">
            <w:pPr>
              <w:rPr>
                <w:rFonts w:cs="Times New Roman"/>
              </w:rPr>
            </w:pPr>
          </w:p>
        </w:tc>
      </w:tr>
      <w:tr w:rsidR="0009772E" w:rsidRPr="00F00FB8" w:rsidTr="001B2014">
        <w:tc>
          <w:tcPr>
            <w:tcW w:w="15310" w:type="dxa"/>
            <w:gridSpan w:val="9"/>
            <w:tcBorders>
              <w:bottom w:val="single" w:sz="4" w:space="0" w:color="auto"/>
            </w:tcBorders>
            <w:shd w:val="clear" w:color="auto" w:fill="0070C0"/>
          </w:tcPr>
          <w:p w:rsidR="0009772E" w:rsidRPr="009F2D92" w:rsidRDefault="0009772E" w:rsidP="001B2014">
            <w:pPr>
              <w:snapToGrid w:val="0"/>
              <w:spacing w:line="100" w:lineRule="atLeast"/>
              <w:jc w:val="center"/>
              <w:rPr>
                <w:rFonts w:ascii="Calibri" w:hAnsi="Calibri" w:cs="Calibri"/>
                <w:b/>
                <w:color w:val="FFFFFF" w:themeColor="background1"/>
                <w:sz w:val="28"/>
                <w:szCs w:val="28"/>
              </w:rPr>
            </w:pPr>
            <w:r w:rsidRPr="009F2D92">
              <w:rPr>
                <w:rFonts w:ascii="Calibri" w:hAnsi="Calibri" w:cs="Calibri"/>
                <w:b/>
                <w:color w:val="FFFFFF" w:themeColor="background1"/>
                <w:sz w:val="28"/>
                <w:szCs w:val="28"/>
              </w:rPr>
              <w:t>2023</w:t>
            </w:r>
          </w:p>
        </w:tc>
      </w:tr>
      <w:tr w:rsidR="0009772E" w:rsidRPr="00F00FB8" w:rsidTr="001B2014">
        <w:tc>
          <w:tcPr>
            <w:tcW w:w="710" w:type="dxa"/>
          </w:tcPr>
          <w:p w:rsidR="0009772E" w:rsidRPr="003B4569" w:rsidRDefault="0009772E" w:rsidP="001B2014">
            <w:pPr>
              <w:rPr>
                <w:rFonts w:cs="Times New Roman"/>
              </w:rPr>
            </w:pPr>
            <w:r w:rsidRPr="003B4569">
              <w:rPr>
                <w:rFonts w:cs="Times New Roman"/>
              </w:rPr>
              <w:t xml:space="preserve">I </w:t>
            </w:r>
            <w:proofErr w:type="spellStart"/>
            <w:r w:rsidRPr="003B4569">
              <w:rPr>
                <w:rFonts w:cs="Times New Roman"/>
              </w:rPr>
              <w:t>poł</w:t>
            </w:r>
            <w:proofErr w:type="spellEnd"/>
            <w:r w:rsidRPr="003B4569">
              <w:rPr>
                <w:rFonts w:cs="Times New Roman"/>
              </w:rPr>
              <w:t>. 2023</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Poinformowanie ogółu społeczeństwa o rezultatach wdrażania LSR na lata 2014-2020, w tym o stopniu osiągnięcia celów</w:t>
            </w:r>
            <w:r w:rsidRPr="00A3572A">
              <w:rPr>
                <w:rFonts w:cs="Times New Roman"/>
              </w:rPr>
              <w:br/>
              <w:t>i wskaźników, wyniki bieżącego monitoringu i działań ewaluacyjnych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Kampania informacyjna nt. głównych efektów realizacji LSR, w tym o stopniu osiągniętych wskaźników, wynikach działań ewaluacyjnych</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977" w:type="dxa"/>
            <w:gridSpan w:val="2"/>
            <w:tcBorders>
              <w:bottom w:val="single" w:sz="4" w:space="0" w:color="auto"/>
            </w:tcBorders>
          </w:tcPr>
          <w:p w:rsidR="0009772E" w:rsidRPr="00A3572A" w:rsidRDefault="0009772E" w:rsidP="001B2014">
            <w:pPr>
              <w:rPr>
                <w:rFonts w:cs="Times New Roman"/>
              </w:rPr>
            </w:pPr>
            <w:r w:rsidRPr="00A3572A">
              <w:rPr>
                <w:rFonts w:cs="Times New Roman"/>
              </w:rPr>
              <w:t>- ogłoszenie w prasie lokalnej/artykuły sponsorowane</w:t>
            </w:r>
          </w:p>
          <w:p w:rsidR="0009772E" w:rsidRPr="00A3572A" w:rsidRDefault="0009772E" w:rsidP="001B2014">
            <w:pPr>
              <w:rPr>
                <w:rFonts w:cs="Times New Roman"/>
              </w:rPr>
            </w:pPr>
            <w:r w:rsidRPr="00A3572A">
              <w:rPr>
                <w:rFonts w:cs="Times New Roman"/>
              </w:rPr>
              <w:t>- konferencja</w:t>
            </w:r>
          </w:p>
          <w:p w:rsidR="0009772E" w:rsidRPr="00A3572A" w:rsidRDefault="0009772E" w:rsidP="001B2014">
            <w:pPr>
              <w:rPr>
                <w:rFonts w:cs="Times New Roman"/>
              </w:rPr>
            </w:pPr>
          </w:p>
        </w:tc>
        <w:tc>
          <w:tcPr>
            <w:tcW w:w="3118" w:type="dxa"/>
            <w:tcBorders>
              <w:bottom w:val="single" w:sz="4" w:space="0" w:color="auto"/>
            </w:tcBorders>
          </w:tcPr>
          <w:p w:rsidR="0009772E" w:rsidRPr="00A3572A" w:rsidRDefault="0009772E" w:rsidP="001B2014">
            <w:pPr>
              <w:rPr>
                <w:rFonts w:ascii="Calibri" w:hAnsi="Calibri" w:cs="Calibri"/>
              </w:rPr>
            </w:pPr>
            <w:r w:rsidRPr="00A3572A">
              <w:rPr>
                <w:rFonts w:ascii="Calibri" w:hAnsi="Calibri" w:cs="Calibri"/>
              </w:rPr>
              <w:t>- Liczba ogłoszeń w lokalnej prasie – 2</w:t>
            </w:r>
          </w:p>
          <w:p w:rsidR="0009772E" w:rsidRPr="00A3572A" w:rsidRDefault="0009772E" w:rsidP="001B2014">
            <w:pPr>
              <w:rPr>
                <w:rFonts w:ascii="Calibri" w:hAnsi="Calibri" w:cs="Calibri"/>
              </w:rPr>
            </w:pPr>
            <w:r w:rsidRPr="00A3572A">
              <w:rPr>
                <w:rFonts w:ascii="Calibri" w:hAnsi="Calibri" w:cs="Calibri"/>
              </w:rPr>
              <w:t xml:space="preserve">- Liczba artykułów </w:t>
            </w:r>
            <w:proofErr w:type="spellStart"/>
            <w:r w:rsidRPr="00A3572A">
              <w:rPr>
                <w:rFonts w:ascii="Calibri" w:hAnsi="Calibri" w:cs="Calibri"/>
              </w:rPr>
              <w:t>sponsoro-wanych</w:t>
            </w:r>
            <w:proofErr w:type="spellEnd"/>
            <w:r w:rsidRPr="00A3572A">
              <w:rPr>
                <w:rFonts w:ascii="Calibri" w:hAnsi="Calibri" w:cs="Calibri"/>
              </w:rPr>
              <w:t xml:space="preserve"> w lokalnej prasie – 2 </w:t>
            </w:r>
          </w:p>
          <w:p w:rsidR="0009772E" w:rsidRPr="00A3572A" w:rsidRDefault="0009772E" w:rsidP="001B2014">
            <w:pPr>
              <w:rPr>
                <w:rFonts w:ascii="Calibri" w:hAnsi="Calibri" w:cs="Calibri"/>
              </w:rPr>
            </w:pPr>
            <w:r w:rsidRPr="00A3572A">
              <w:rPr>
                <w:rFonts w:ascii="Calibri" w:hAnsi="Calibri" w:cs="Calibri"/>
              </w:rPr>
              <w:t>- Liczba zorganizowanych konferencji – 1</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Liczba odbiorców 8000</w:t>
            </w:r>
          </w:p>
          <w:p w:rsidR="0009772E" w:rsidRPr="00A3572A" w:rsidRDefault="0009772E" w:rsidP="001B2014">
            <w:pPr>
              <w:rPr>
                <w:rFonts w:ascii="Calibri" w:eastAsia="DejaVuSans" w:hAnsi="Calibri" w:cs="Calibri"/>
              </w:rPr>
            </w:pPr>
            <w:r w:rsidRPr="00A3572A">
              <w:rPr>
                <w:rFonts w:ascii="Calibri" w:eastAsia="DejaVuSans" w:hAnsi="Calibri" w:cs="Calibri"/>
              </w:rPr>
              <w:t>- Liczba odbiorców 8000</w:t>
            </w:r>
          </w:p>
          <w:p w:rsidR="0009772E" w:rsidRPr="00A3572A" w:rsidRDefault="0009772E" w:rsidP="001B2014">
            <w:pPr>
              <w:snapToGrid w:val="0"/>
              <w:spacing w:line="100" w:lineRule="atLeast"/>
              <w:rPr>
                <w:rFonts w:ascii="Calibri" w:hAnsi="Calibri" w:cs="Calibri"/>
              </w:rPr>
            </w:pPr>
            <w:r w:rsidRPr="00A3572A">
              <w:rPr>
                <w:rFonts w:ascii="Calibri" w:hAnsi="Calibri" w:cs="Calibri"/>
              </w:rPr>
              <w:t>- Liczba odbiorców  75</w:t>
            </w:r>
          </w:p>
        </w:tc>
      </w:tr>
      <w:tr w:rsidR="0009772E" w:rsidRPr="00F00FB8" w:rsidTr="001B2014">
        <w:tc>
          <w:tcPr>
            <w:tcW w:w="710" w:type="dxa"/>
            <w:tcBorders>
              <w:bottom w:val="single" w:sz="4" w:space="0" w:color="auto"/>
            </w:tcBorders>
          </w:tcPr>
          <w:p w:rsidR="0009772E" w:rsidRPr="003B4569" w:rsidRDefault="0009772E" w:rsidP="001B2014">
            <w:pPr>
              <w:rPr>
                <w:rFonts w:cs="Times New Roman"/>
              </w:rPr>
            </w:pPr>
            <w:r w:rsidRPr="003B4569">
              <w:rPr>
                <w:rFonts w:cs="Times New Roman"/>
              </w:rPr>
              <w:lastRenderedPageBreak/>
              <w:t xml:space="preserve">I </w:t>
            </w:r>
            <w:proofErr w:type="spellStart"/>
            <w:r w:rsidRPr="003B4569">
              <w:rPr>
                <w:rFonts w:cs="Times New Roman"/>
              </w:rPr>
              <w:t>poł</w:t>
            </w:r>
            <w:proofErr w:type="spellEnd"/>
            <w:r w:rsidRPr="003B4569">
              <w:rPr>
                <w:rFonts w:cs="Times New Roman"/>
              </w:rPr>
              <w:t>. 2023</w:t>
            </w:r>
          </w:p>
        </w:tc>
        <w:tc>
          <w:tcPr>
            <w:tcW w:w="2551" w:type="dxa"/>
            <w:tcBorders>
              <w:bottom w:val="single" w:sz="4" w:space="0" w:color="auto"/>
            </w:tcBorders>
          </w:tcPr>
          <w:p w:rsidR="0009772E" w:rsidRPr="00A3572A" w:rsidRDefault="0009772E" w:rsidP="001B2014">
            <w:pPr>
              <w:rPr>
                <w:rFonts w:cs="Times New Roman"/>
              </w:rPr>
            </w:pPr>
            <w:r w:rsidRPr="00A3572A">
              <w:rPr>
                <w:rFonts w:cs="Times New Roman"/>
              </w:rPr>
              <w:t>Uzyskanie informacji zwrotnej nt. oceny jakości działań komunikacyjnych</w:t>
            </w:r>
          </w:p>
        </w:tc>
        <w:tc>
          <w:tcPr>
            <w:tcW w:w="1843" w:type="dxa"/>
            <w:tcBorders>
              <w:bottom w:val="single" w:sz="4" w:space="0" w:color="auto"/>
            </w:tcBorders>
          </w:tcPr>
          <w:p w:rsidR="0009772E" w:rsidRPr="00A3572A" w:rsidRDefault="0009772E" w:rsidP="001B2014">
            <w:pPr>
              <w:rPr>
                <w:rFonts w:cs="Times New Roman"/>
              </w:rPr>
            </w:pPr>
            <w:r w:rsidRPr="00A3572A">
              <w:rPr>
                <w:rFonts w:cs="Times New Roman"/>
              </w:rPr>
              <w:t xml:space="preserve">Badanie satysfakcji wnioskodawców LGD dot. jakości działań komunikacyjnych </w:t>
            </w:r>
          </w:p>
        </w:tc>
        <w:tc>
          <w:tcPr>
            <w:tcW w:w="2268" w:type="dxa"/>
            <w:gridSpan w:val="2"/>
            <w:tcBorders>
              <w:bottom w:val="single" w:sz="4" w:space="0" w:color="auto"/>
            </w:tcBorders>
          </w:tcPr>
          <w:p w:rsidR="0009772E" w:rsidRPr="00A3572A" w:rsidRDefault="0009772E" w:rsidP="001B2014">
            <w:pPr>
              <w:rPr>
                <w:rFonts w:cs="Times New Roman"/>
              </w:rPr>
            </w:pPr>
            <w:r w:rsidRPr="00A3572A">
              <w:rPr>
                <w:rFonts w:cs="Times New Roman"/>
              </w:rPr>
              <w:t>- wszyscy mieszkańcy obszaru LGD (ogół społeczeństwa)</w:t>
            </w:r>
          </w:p>
        </w:tc>
        <w:tc>
          <w:tcPr>
            <w:tcW w:w="2977" w:type="dxa"/>
            <w:gridSpan w:val="2"/>
            <w:tcBorders>
              <w:bottom w:val="single" w:sz="4" w:space="0" w:color="auto"/>
            </w:tcBorders>
          </w:tcPr>
          <w:p w:rsidR="0009772E" w:rsidRPr="00A3572A" w:rsidRDefault="0009772E" w:rsidP="001B2014">
            <w:pPr>
              <w:rPr>
                <w:rFonts w:cs="Times New Roman"/>
              </w:rPr>
            </w:pPr>
            <w:r w:rsidRPr="00A3572A">
              <w:rPr>
                <w:rFonts w:cs="Times New Roman"/>
              </w:rPr>
              <w:t>- ankiety elektroniczne na stronie internetowej LGD</w:t>
            </w:r>
          </w:p>
          <w:p w:rsidR="0009772E" w:rsidRPr="00A3572A" w:rsidRDefault="0009772E" w:rsidP="001B2014">
            <w:pPr>
              <w:rPr>
                <w:rFonts w:cs="Times New Roman"/>
              </w:rPr>
            </w:pPr>
            <w:r w:rsidRPr="00A3572A">
              <w:rPr>
                <w:rFonts w:cs="Times New Roman"/>
              </w:rPr>
              <w:t>- ankiety papierowe dostępne w Biurze LGD</w:t>
            </w:r>
          </w:p>
        </w:tc>
        <w:tc>
          <w:tcPr>
            <w:tcW w:w="3118" w:type="dxa"/>
            <w:tcBorders>
              <w:bottom w:val="single" w:sz="4" w:space="0" w:color="auto"/>
            </w:tcBorders>
          </w:tcPr>
          <w:p w:rsidR="0009772E" w:rsidRPr="00A3572A" w:rsidRDefault="0009772E" w:rsidP="001B2014">
            <w:pPr>
              <w:rPr>
                <w:rFonts w:ascii="Calibri" w:hAnsi="Calibri" w:cs="Calibri"/>
              </w:rPr>
            </w:pPr>
            <w:r w:rsidRPr="00A3572A">
              <w:rPr>
                <w:rFonts w:ascii="Calibri" w:hAnsi="Calibri" w:cs="Calibri"/>
              </w:rPr>
              <w:t xml:space="preserve">- </w:t>
            </w:r>
            <w:r w:rsidRPr="00A3572A">
              <w:rPr>
                <w:rFonts w:ascii="Calibri" w:eastAsia="Calibri" w:hAnsi="Calibri" w:cs="Calibri"/>
              </w:rPr>
              <w:t xml:space="preserve">Liczba wypełnionych ankiet monitorujących </w:t>
            </w:r>
            <w:proofErr w:type="spellStart"/>
            <w:r w:rsidRPr="00A3572A">
              <w:rPr>
                <w:rFonts w:ascii="Calibri" w:eastAsia="Calibri" w:hAnsi="Calibri" w:cs="Calibri"/>
              </w:rPr>
              <w:t>on-line</w:t>
            </w:r>
            <w:proofErr w:type="spellEnd"/>
            <w:r w:rsidRPr="00A3572A">
              <w:rPr>
                <w:rFonts w:ascii="Calibri" w:eastAsia="Calibri" w:hAnsi="Calibri" w:cs="Calibri"/>
              </w:rPr>
              <w:t xml:space="preserve"> ze strony internetowej LGD </w:t>
            </w:r>
            <w:r w:rsidRPr="00A3572A">
              <w:rPr>
                <w:rFonts w:ascii="Calibri" w:hAnsi="Calibri" w:cs="Calibri"/>
              </w:rPr>
              <w:t xml:space="preserve">– </w:t>
            </w:r>
            <w:r w:rsidRPr="00A3572A">
              <w:rPr>
                <w:rFonts w:ascii="Calibri" w:eastAsia="Calibri" w:hAnsi="Calibri" w:cs="Calibri"/>
              </w:rPr>
              <w:t>30</w:t>
            </w:r>
            <w:r w:rsidRPr="00A3572A">
              <w:rPr>
                <w:rFonts w:ascii="Calibri" w:hAnsi="Calibri" w:cs="Calibri"/>
              </w:rPr>
              <w:t xml:space="preserve"> </w:t>
            </w:r>
          </w:p>
        </w:tc>
        <w:tc>
          <w:tcPr>
            <w:tcW w:w="1843" w:type="dxa"/>
            <w:tcBorders>
              <w:bottom w:val="single" w:sz="4" w:space="0" w:color="auto"/>
            </w:tcBorders>
          </w:tcPr>
          <w:p w:rsidR="0009772E" w:rsidRPr="00A3572A" w:rsidRDefault="0009772E" w:rsidP="001B2014">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30</w:t>
            </w:r>
          </w:p>
          <w:p w:rsidR="0009772E" w:rsidRPr="00A3572A" w:rsidRDefault="0009772E" w:rsidP="001B2014">
            <w:pPr>
              <w:rPr>
                <w:rFonts w:cs="Times New Roman"/>
              </w:rPr>
            </w:pPr>
          </w:p>
        </w:tc>
      </w:tr>
      <w:tr w:rsidR="0009772E" w:rsidRPr="00EA44A8" w:rsidTr="001B2014">
        <w:tc>
          <w:tcPr>
            <w:tcW w:w="15310" w:type="dxa"/>
            <w:gridSpan w:val="9"/>
            <w:tcBorders>
              <w:bottom w:val="single" w:sz="4" w:space="0" w:color="auto"/>
            </w:tcBorders>
            <w:shd w:val="clear" w:color="auto" w:fill="0070C0"/>
          </w:tcPr>
          <w:p w:rsidR="0009772E" w:rsidRPr="006761D4" w:rsidRDefault="0009772E" w:rsidP="001B2014">
            <w:pPr>
              <w:jc w:val="center"/>
              <w:rPr>
                <w:rFonts w:cs="Times New Roman"/>
                <w:b/>
                <w:color w:val="FFFFFF" w:themeColor="background1"/>
                <w:sz w:val="28"/>
                <w:szCs w:val="28"/>
              </w:rPr>
            </w:pPr>
            <w:r>
              <w:rPr>
                <w:rFonts w:cs="Times New Roman"/>
                <w:b/>
                <w:color w:val="FFFFFF" w:themeColor="background1"/>
                <w:sz w:val="28"/>
                <w:szCs w:val="28"/>
              </w:rPr>
              <w:t>kwiecień</w:t>
            </w:r>
            <w:r w:rsidRPr="006761D4">
              <w:rPr>
                <w:rFonts w:cs="Times New Roman"/>
                <w:b/>
                <w:color w:val="FFFFFF" w:themeColor="background1"/>
                <w:sz w:val="28"/>
                <w:szCs w:val="28"/>
              </w:rPr>
              <w:t xml:space="preserve"> 2019-czerwiec 2023</w:t>
            </w:r>
          </w:p>
        </w:tc>
      </w:tr>
      <w:tr w:rsidR="0009772E" w:rsidRPr="00F00FB8" w:rsidTr="001B2014">
        <w:tc>
          <w:tcPr>
            <w:tcW w:w="710" w:type="dxa"/>
          </w:tcPr>
          <w:p w:rsidR="0009772E" w:rsidRPr="00413556" w:rsidRDefault="0009772E" w:rsidP="001B2014">
            <w:pPr>
              <w:rPr>
                <w:rFonts w:cs="Times New Roman"/>
                <w:strike/>
                <w:color w:val="FF0000"/>
              </w:rPr>
            </w:pPr>
          </w:p>
        </w:tc>
        <w:tc>
          <w:tcPr>
            <w:tcW w:w="2551" w:type="dxa"/>
          </w:tcPr>
          <w:p w:rsidR="0009772E" w:rsidRPr="00F00FB8" w:rsidRDefault="0009772E" w:rsidP="001B2014">
            <w:pPr>
              <w:rPr>
                <w:rFonts w:cs="Times New Roman"/>
              </w:rPr>
            </w:pPr>
            <w:r w:rsidRPr="00F00FB8">
              <w:rPr>
                <w:rFonts w:cs="Times New Roman"/>
              </w:rPr>
              <w:t>Wsparcie beneficjentów w procesie pozyskiwania środków z budżetu LSR pop</w:t>
            </w:r>
            <w:r>
              <w:rPr>
                <w:rFonts w:cs="Times New Roman"/>
              </w:rPr>
              <w:t>rzez profesjonalną informację i </w:t>
            </w:r>
            <w:r w:rsidRPr="00F00FB8">
              <w:rPr>
                <w:rFonts w:cs="Times New Roman"/>
              </w:rPr>
              <w:t>indywidualne doradztwo</w:t>
            </w:r>
          </w:p>
        </w:tc>
        <w:tc>
          <w:tcPr>
            <w:tcW w:w="1843" w:type="dxa"/>
          </w:tcPr>
          <w:p w:rsidR="0009772E" w:rsidRPr="00A3572A" w:rsidRDefault="0009772E" w:rsidP="001B2014">
            <w:pPr>
              <w:rPr>
                <w:rFonts w:cs="Times New Roman"/>
              </w:rPr>
            </w:pPr>
            <w:r w:rsidRPr="00A3572A">
              <w:rPr>
                <w:rFonts w:cs="Times New Roman"/>
              </w:rPr>
              <w:t>Bezpośrednie spotkanie w Biurze LGD</w:t>
            </w:r>
          </w:p>
          <w:p w:rsidR="0009772E" w:rsidRPr="00A3572A" w:rsidRDefault="0009772E" w:rsidP="001B2014">
            <w:pPr>
              <w:rPr>
                <w:rFonts w:cs="Times New Roman"/>
              </w:rPr>
            </w:pPr>
            <w:r w:rsidRPr="00A3572A">
              <w:rPr>
                <w:rFonts w:cs="Times New Roman"/>
              </w:rPr>
              <w:t>Spotkania informacyjne w poszczególnych gminach oraz Powiatowym Urzędzie Pracy</w:t>
            </w:r>
          </w:p>
        </w:tc>
        <w:tc>
          <w:tcPr>
            <w:tcW w:w="2268" w:type="dxa"/>
            <w:gridSpan w:val="2"/>
          </w:tcPr>
          <w:p w:rsidR="0009772E" w:rsidRPr="006761D4" w:rsidRDefault="0009772E" w:rsidP="001B2014">
            <w:pPr>
              <w:rPr>
                <w:rFonts w:cs="Times New Roman"/>
              </w:rPr>
            </w:pPr>
            <w:r w:rsidRPr="006761D4">
              <w:rPr>
                <w:rFonts w:cs="Times New Roman"/>
              </w:rPr>
              <w:t xml:space="preserve">- wszyscy mieszkańcy obszaru LGD (ogół społeczeństwa) ze szczególnym uwzględnieniem grup </w:t>
            </w:r>
            <w:proofErr w:type="spellStart"/>
            <w:r w:rsidRPr="006761D4">
              <w:rPr>
                <w:rFonts w:cs="Times New Roman"/>
              </w:rPr>
              <w:t>defaworyzowanych</w:t>
            </w:r>
            <w:proofErr w:type="spellEnd"/>
            <w:r w:rsidRPr="006761D4">
              <w:rPr>
                <w:rFonts w:cs="Times New Roman"/>
              </w:rPr>
              <w:t xml:space="preserve"> i zagrożonych wykluczeniem społecznym</w:t>
            </w:r>
          </w:p>
          <w:p w:rsidR="0009772E" w:rsidRPr="006761D4" w:rsidRDefault="0009772E" w:rsidP="001B2014">
            <w:pPr>
              <w:rPr>
                <w:rFonts w:cs="Times New Roman"/>
              </w:rPr>
            </w:pPr>
            <w:r w:rsidRPr="006761D4">
              <w:rPr>
                <w:rFonts w:cs="Times New Roman"/>
              </w:rPr>
              <w:t>- wszyscy potencjalni wnioskodawcy, w tym przedsiębiorcy, rolnicy, organizacje pozarządowe i pozostali mieszkańcy obszaru,</w:t>
            </w:r>
          </w:p>
          <w:p w:rsidR="0009772E" w:rsidRPr="006761D4" w:rsidRDefault="0009772E" w:rsidP="001B2014">
            <w:pPr>
              <w:rPr>
                <w:rFonts w:cs="Times New Roman"/>
              </w:rPr>
            </w:pPr>
            <w:r w:rsidRPr="006761D4">
              <w:rPr>
                <w:rFonts w:cs="Times New Roman"/>
              </w:rPr>
              <w:t>- wnioskodawcy oraz beneficjenci pomocy</w:t>
            </w:r>
          </w:p>
        </w:tc>
        <w:tc>
          <w:tcPr>
            <w:tcW w:w="2977" w:type="dxa"/>
            <w:gridSpan w:val="2"/>
          </w:tcPr>
          <w:p w:rsidR="0009772E" w:rsidRPr="006761D4" w:rsidRDefault="0009772E" w:rsidP="001B2014">
            <w:pPr>
              <w:rPr>
                <w:rFonts w:cs="Times New Roman"/>
              </w:rPr>
            </w:pPr>
            <w:r w:rsidRPr="006761D4">
              <w:rPr>
                <w:rFonts w:cs="Times New Roman"/>
              </w:rPr>
              <w:t xml:space="preserve">- informacja na stronie </w:t>
            </w:r>
            <w:proofErr w:type="spellStart"/>
            <w:r w:rsidRPr="006761D4">
              <w:rPr>
                <w:rFonts w:cs="Times New Roman"/>
              </w:rPr>
              <w:t>www</w:t>
            </w:r>
            <w:proofErr w:type="spellEnd"/>
            <w:r w:rsidRPr="006761D4">
              <w:rPr>
                <w:rFonts w:cs="Times New Roman"/>
              </w:rPr>
              <w:t xml:space="preserve"> LGD i JST oraz w siedzibach JST o możliwości konsultacji i doradztwa oraz o ogłoszonych naborach wniosków i organizowanych wydarzeniach animacyjnych (szkolenia, imprezy, wyjazdy)</w:t>
            </w:r>
          </w:p>
          <w:p w:rsidR="0009772E" w:rsidRPr="006761D4" w:rsidRDefault="0009772E" w:rsidP="001B2014">
            <w:pPr>
              <w:rPr>
                <w:rFonts w:cs="Times New Roman"/>
              </w:rPr>
            </w:pPr>
            <w:r w:rsidRPr="006761D4">
              <w:rPr>
                <w:rFonts w:cs="Times New Roman"/>
              </w:rPr>
              <w:t xml:space="preserve">- informacja wywieszona w PUP oraz jednostkach pomocy społecznej poszczególnych </w:t>
            </w:r>
            <w:proofErr w:type="spellStart"/>
            <w:r w:rsidRPr="006761D4">
              <w:rPr>
                <w:rFonts w:cs="Times New Roman"/>
              </w:rPr>
              <w:t>gmin</w:t>
            </w:r>
            <w:proofErr w:type="spellEnd"/>
            <w:r w:rsidRPr="006761D4">
              <w:rPr>
                <w:rFonts w:cs="Times New Roman"/>
              </w:rPr>
              <w:t>, ODR</w:t>
            </w:r>
          </w:p>
          <w:p w:rsidR="0009772E" w:rsidRPr="006761D4" w:rsidRDefault="0009772E" w:rsidP="001B2014">
            <w:pPr>
              <w:rPr>
                <w:rFonts w:cs="Times New Roman"/>
              </w:rPr>
            </w:pPr>
            <w:r w:rsidRPr="006761D4">
              <w:rPr>
                <w:rFonts w:cs="Times New Roman"/>
              </w:rPr>
              <w:t>- ankieta monitorująca zamieszczona na stronie internetowej LGD - pozyskanie informacji o funkcjonowaniu LGD</w:t>
            </w:r>
          </w:p>
          <w:p w:rsidR="0009772E" w:rsidRPr="006761D4" w:rsidRDefault="0009772E" w:rsidP="001B2014">
            <w:pPr>
              <w:rPr>
                <w:rFonts w:cs="Times New Roman"/>
              </w:rPr>
            </w:pPr>
          </w:p>
        </w:tc>
        <w:tc>
          <w:tcPr>
            <w:tcW w:w="3118" w:type="dxa"/>
          </w:tcPr>
          <w:p w:rsidR="0009772E" w:rsidRDefault="0009772E" w:rsidP="001B2014">
            <w:pPr>
              <w:rPr>
                <w:rFonts w:cs="Times New Roman"/>
              </w:rPr>
            </w:pPr>
            <w:r w:rsidRPr="003B4569">
              <w:rPr>
                <w:rFonts w:cs="Times New Roman"/>
              </w:rPr>
              <w:t xml:space="preserve">ogłoszenie na stronie </w:t>
            </w:r>
            <w:proofErr w:type="spellStart"/>
            <w:r w:rsidRPr="003B4569">
              <w:rPr>
                <w:rFonts w:cs="Times New Roman"/>
              </w:rPr>
              <w:t>www</w:t>
            </w:r>
            <w:proofErr w:type="spellEnd"/>
            <w:r w:rsidRPr="003B4569">
              <w:rPr>
                <w:rFonts w:cs="Times New Roman"/>
              </w:rPr>
              <w:t xml:space="preserve"> LGD i JST</w:t>
            </w:r>
          </w:p>
          <w:p w:rsidR="0009772E" w:rsidRPr="003B4569" w:rsidRDefault="0009772E" w:rsidP="001B2014">
            <w:pPr>
              <w:rPr>
                <w:rFonts w:cs="Times New Roman"/>
              </w:rPr>
            </w:pPr>
            <w:r>
              <w:rPr>
                <w:rFonts w:cs="Times New Roman"/>
              </w:rPr>
              <w:t>- Liczba porad lub konsultacji udzielonych w biurze – 100</w:t>
            </w:r>
          </w:p>
          <w:p w:rsidR="0009772E" w:rsidRPr="003B4569" w:rsidRDefault="0009772E" w:rsidP="001B2014">
            <w:pPr>
              <w:rPr>
                <w:rFonts w:cs="Times New Roman"/>
              </w:rPr>
            </w:pPr>
          </w:p>
        </w:tc>
        <w:tc>
          <w:tcPr>
            <w:tcW w:w="1843" w:type="dxa"/>
          </w:tcPr>
          <w:p w:rsidR="0009772E" w:rsidRDefault="0009772E" w:rsidP="001B2014">
            <w:pPr>
              <w:snapToGrid w:val="0"/>
              <w:spacing w:line="100" w:lineRule="atLeast"/>
              <w:rPr>
                <w:rFonts w:cs="Times New Roman"/>
              </w:rPr>
            </w:pPr>
            <w:r w:rsidRPr="003B4569">
              <w:rPr>
                <w:rFonts w:cs="Times New Roman"/>
              </w:rPr>
              <w:t>Liczba odbiorców – 14400</w:t>
            </w:r>
          </w:p>
          <w:p w:rsidR="0009772E" w:rsidRPr="003B4569" w:rsidRDefault="0009772E" w:rsidP="001B2014">
            <w:pPr>
              <w:snapToGrid w:val="0"/>
              <w:spacing w:line="100" w:lineRule="atLeast"/>
              <w:rPr>
                <w:rFonts w:cs="Times New Roman"/>
              </w:rPr>
            </w:pPr>
            <w:r>
              <w:rPr>
                <w:rFonts w:cs="Times New Roman"/>
              </w:rPr>
              <w:t>Liczba odbiorców – 100</w:t>
            </w:r>
          </w:p>
        </w:tc>
      </w:tr>
      <w:tr w:rsidR="0009772E" w:rsidRPr="00F00FB8" w:rsidTr="001B2014">
        <w:tc>
          <w:tcPr>
            <w:tcW w:w="710" w:type="dxa"/>
          </w:tcPr>
          <w:p w:rsidR="0009772E" w:rsidRPr="00413556" w:rsidRDefault="0009772E" w:rsidP="001B2014">
            <w:pPr>
              <w:rPr>
                <w:rFonts w:cs="Times New Roman"/>
                <w:strike/>
                <w:color w:val="FF0000"/>
              </w:rPr>
            </w:pPr>
          </w:p>
        </w:tc>
        <w:tc>
          <w:tcPr>
            <w:tcW w:w="2551" w:type="dxa"/>
          </w:tcPr>
          <w:p w:rsidR="0009772E" w:rsidRPr="00F00FB8" w:rsidRDefault="0009772E" w:rsidP="001B2014">
            <w:pPr>
              <w:rPr>
                <w:rFonts w:cs="Times New Roman"/>
              </w:rPr>
            </w:pPr>
            <w:r w:rsidRPr="003175D0">
              <w:rPr>
                <w:rFonts w:cs="Times New Roman"/>
              </w:rPr>
              <w:t xml:space="preserve">Budowanie pozytywnego wizerunku LGD </w:t>
            </w:r>
            <w:r w:rsidRPr="006170D1">
              <w:t>i</w:t>
            </w:r>
            <w:r>
              <w:t> </w:t>
            </w:r>
            <w:r w:rsidRPr="006170D1">
              <w:t>LSR</w:t>
            </w:r>
            <w:r w:rsidRPr="003175D0">
              <w:rPr>
                <w:rFonts w:cs="Times New Roman"/>
              </w:rPr>
              <w:t xml:space="preserve"> oraz promocja dobrych praktyk w zakresie operacji wdrażanych w ramach LSR</w:t>
            </w:r>
          </w:p>
        </w:tc>
        <w:tc>
          <w:tcPr>
            <w:tcW w:w="1843" w:type="dxa"/>
          </w:tcPr>
          <w:p w:rsidR="0009772E" w:rsidRPr="00F00FB8" w:rsidRDefault="0009772E" w:rsidP="001B2014">
            <w:pPr>
              <w:rPr>
                <w:rFonts w:cs="Times New Roman"/>
              </w:rPr>
            </w:pPr>
            <w:r w:rsidRPr="00F00FB8">
              <w:rPr>
                <w:rFonts w:cs="Times New Roman"/>
              </w:rPr>
              <w:t>Kampania informacyjna nt. głównych założeń LSR na lata 2014-2020</w:t>
            </w:r>
          </w:p>
        </w:tc>
        <w:tc>
          <w:tcPr>
            <w:tcW w:w="2268" w:type="dxa"/>
            <w:gridSpan w:val="2"/>
          </w:tcPr>
          <w:p w:rsidR="0009772E" w:rsidRPr="00F00FB8" w:rsidRDefault="0009772E" w:rsidP="001B2014">
            <w:pPr>
              <w:rPr>
                <w:rFonts w:cs="Times New Roman"/>
              </w:rPr>
            </w:pPr>
            <w:r w:rsidRPr="00F00FB8">
              <w:rPr>
                <w:rFonts w:cs="Times New Roman"/>
              </w:rPr>
              <w:t xml:space="preserve">- wszyscy mieszkańcy obszaru LGD (ogół społeczeństwa) ze szczególnym uwzględnieniem grup </w:t>
            </w:r>
            <w:proofErr w:type="spellStart"/>
            <w:r w:rsidRPr="00F00FB8">
              <w:rPr>
                <w:rFonts w:cs="Times New Roman"/>
              </w:rPr>
              <w:t>defaworyzowanych</w:t>
            </w:r>
            <w:proofErr w:type="spellEnd"/>
            <w:r w:rsidRPr="00F00FB8">
              <w:rPr>
                <w:rFonts w:cs="Times New Roman"/>
              </w:rPr>
              <w:t xml:space="preserve"> i zagrożonych wykluczeniem </w:t>
            </w:r>
            <w:r w:rsidRPr="00F00FB8">
              <w:rPr>
                <w:rFonts w:cs="Times New Roman"/>
              </w:rPr>
              <w:lastRenderedPageBreak/>
              <w:t>społecznym</w:t>
            </w:r>
          </w:p>
          <w:p w:rsidR="0009772E" w:rsidRPr="00F00FB8" w:rsidRDefault="0009772E" w:rsidP="001B2014">
            <w:pPr>
              <w:rPr>
                <w:rFonts w:cs="Times New Roman"/>
              </w:rPr>
            </w:pPr>
            <w:r w:rsidRPr="00F00FB8">
              <w:rPr>
                <w:rFonts w:cs="Times New Roman"/>
              </w:rPr>
              <w:t>- wszyscy potencjalni wnioskodawcy, w tym przedsiębiorcy, rolnicy, organizacje pozarządowe i pozostali mieszkańcy obszaru,</w:t>
            </w:r>
          </w:p>
          <w:p w:rsidR="0009772E" w:rsidRPr="00F00FB8" w:rsidRDefault="0009772E" w:rsidP="001B2014">
            <w:pPr>
              <w:rPr>
                <w:rFonts w:cs="Times New Roman"/>
              </w:rPr>
            </w:pPr>
            <w:r w:rsidRPr="00F00FB8">
              <w:rPr>
                <w:rFonts w:cs="Times New Roman"/>
              </w:rPr>
              <w:t>- wnioskodawcy oraz beneficjenci pomocy</w:t>
            </w:r>
          </w:p>
        </w:tc>
        <w:tc>
          <w:tcPr>
            <w:tcW w:w="2977" w:type="dxa"/>
            <w:gridSpan w:val="2"/>
          </w:tcPr>
          <w:p w:rsidR="0009772E" w:rsidRPr="006761D4" w:rsidRDefault="0009772E" w:rsidP="001B2014">
            <w:pPr>
              <w:rPr>
                <w:rFonts w:cs="Times New Roman"/>
              </w:rPr>
            </w:pPr>
            <w:r w:rsidRPr="006761D4">
              <w:rPr>
                <w:rFonts w:cs="Times New Roman"/>
              </w:rPr>
              <w:lastRenderedPageBreak/>
              <w:t>- wyjazdy studyjne dla mieszkańców</w:t>
            </w:r>
          </w:p>
          <w:p w:rsidR="0009772E" w:rsidRPr="006761D4" w:rsidRDefault="0009772E" w:rsidP="001B2014">
            <w:pPr>
              <w:rPr>
                <w:rFonts w:cs="Times New Roman"/>
              </w:rPr>
            </w:pPr>
            <w:r w:rsidRPr="006761D4">
              <w:t>- inne przedsięwzięcia promocyjne organizowane przez LGD (</w:t>
            </w:r>
            <w:r w:rsidRPr="006761D4">
              <w:rPr>
                <w:rFonts w:cs="Times New Roman"/>
              </w:rPr>
              <w:t>materiały promujące rozdawane przy okazji działań komunikacyjnych)</w:t>
            </w:r>
          </w:p>
          <w:p w:rsidR="0009772E" w:rsidRPr="006761D4" w:rsidRDefault="0009772E" w:rsidP="001B2014">
            <w:pPr>
              <w:rPr>
                <w:rFonts w:cs="Times New Roman"/>
              </w:rPr>
            </w:pPr>
            <w:r w:rsidRPr="006761D4">
              <w:rPr>
                <w:rFonts w:cs="Times New Roman"/>
              </w:rPr>
              <w:lastRenderedPageBreak/>
              <w:t>- konkursy plastyczne dla mieszkańców</w:t>
            </w:r>
          </w:p>
          <w:p w:rsidR="0009772E" w:rsidRPr="006761D4" w:rsidRDefault="0009772E" w:rsidP="001B2014">
            <w:pPr>
              <w:rPr>
                <w:rFonts w:cs="Times New Roman"/>
              </w:rPr>
            </w:pPr>
            <w:r w:rsidRPr="006761D4">
              <w:rPr>
                <w:rFonts w:cs="Times New Roman"/>
              </w:rPr>
              <w:t>- udział w imprezach na terenie obszaru działania (Mobilny Punkt Informacyjny)</w:t>
            </w:r>
          </w:p>
        </w:tc>
        <w:tc>
          <w:tcPr>
            <w:tcW w:w="3118" w:type="dxa"/>
          </w:tcPr>
          <w:p w:rsidR="0009772E" w:rsidRPr="006761D4" w:rsidRDefault="0009772E" w:rsidP="001B2014">
            <w:pPr>
              <w:rPr>
                <w:rFonts w:cs="Times New Roman"/>
              </w:rPr>
            </w:pPr>
            <w:r w:rsidRPr="006761D4">
              <w:rPr>
                <w:rFonts w:cs="Times New Roman"/>
              </w:rPr>
              <w:lastRenderedPageBreak/>
              <w:t>- Liczba wyjazdów studyjnych dla mieszkańców – 4</w:t>
            </w:r>
          </w:p>
          <w:p w:rsidR="0009772E" w:rsidRPr="006761D4" w:rsidRDefault="0009772E" w:rsidP="001B2014">
            <w:pPr>
              <w:rPr>
                <w:rFonts w:cs="Times New Roman"/>
              </w:rPr>
            </w:pPr>
            <w:r w:rsidRPr="006761D4">
              <w:rPr>
                <w:rFonts w:cs="Times New Roman"/>
              </w:rPr>
              <w:t>- Liczba wykonanych materiałów promujących –  19</w:t>
            </w:r>
          </w:p>
          <w:p w:rsidR="0009772E" w:rsidRPr="006761D4" w:rsidRDefault="0009772E" w:rsidP="001B2014">
            <w:pPr>
              <w:rPr>
                <w:rFonts w:ascii="Calibri" w:eastAsia="Calibri" w:hAnsi="Calibri" w:cs="Times New Roman"/>
                <w:strike/>
              </w:rPr>
            </w:pPr>
            <w:r w:rsidRPr="006761D4">
              <w:rPr>
                <w:rFonts w:ascii="Calibri" w:eastAsia="Calibri" w:hAnsi="Calibri" w:cs="Times New Roman"/>
              </w:rPr>
              <w:t xml:space="preserve">- Liczba zorganizowanych konkursów plastycznych – 4 </w:t>
            </w:r>
          </w:p>
          <w:p w:rsidR="0009772E" w:rsidRPr="006761D4" w:rsidRDefault="0009772E" w:rsidP="001B2014">
            <w:pPr>
              <w:rPr>
                <w:rFonts w:ascii="Calibri" w:eastAsia="Calibri" w:hAnsi="Calibri" w:cs="Times New Roman"/>
              </w:rPr>
            </w:pPr>
            <w:r w:rsidRPr="006761D4">
              <w:rPr>
                <w:rFonts w:ascii="Calibri" w:eastAsia="Calibri" w:hAnsi="Calibri" w:cs="Times New Roman"/>
              </w:rPr>
              <w:t xml:space="preserve">- Liczba wydanych kalendarzy z pracami laureatów konkursów </w:t>
            </w:r>
            <w:r w:rsidRPr="006761D4">
              <w:rPr>
                <w:rFonts w:ascii="Calibri" w:eastAsia="Calibri" w:hAnsi="Calibri" w:cs="Times New Roman"/>
              </w:rPr>
              <w:lastRenderedPageBreak/>
              <w:t xml:space="preserve">plastycznych – 5 </w:t>
            </w:r>
          </w:p>
          <w:p w:rsidR="0009772E" w:rsidRPr="006761D4" w:rsidRDefault="0009772E" w:rsidP="001B2014">
            <w:pPr>
              <w:rPr>
                <w:rFonts w:ascii="Calibri" w:hAnsi="Calibri" w:cs="Calibri"/>
              </w:rPr>
            </w:pPr>
            <w:r w:rsidRPr="006761D4">
              <w:rPr>
                <w:rFonts w:ascii="Calibri" w:hAnsi="Calibri" w:cs="Calibri"/>
              </w:rPr>
              <w:t>- Liczba imprez na terenie obszaru działania , w których uczestniczy LGD –24</w:t>
            </w:r>
          </w:p>
        </w:tc>
        <w:tc>
          <w:tcPr>
            <w:tcW w:w="1843" w:type="dxa"/>
          </w:tcPr>
          <w:p w:rsidR="0009772E" w:rsidRPr="006761D4" w:rsidRDefault="0009772E" w:rsidP="001B2014">
            <w:pPr>
              <w:snapToGrid w:val="0"/>
              <w:spacing w:line="100" w:lineRule="atLeast"/>
              <w:rPr>
                <w:rFonts w:eastAsia="DejaVuSans" w:cs="Calibri"/>
              </w:rPr>
            </w:pPr>
            <w:r w:rsidRPr="006761D4">
              <w:rPr>
                <w:rFonts w:eastAsia="DejaVuSans" w:cs="Calibri"/>
              </w:rPr>
              <w:lastRenderedPageBreak/>
              <w:t>- Liczba odbiorców 135</w:t>
            </w:r>
          </w:p>
          <w:p w:rsidR="0009772E" w:rsidRPr="006761D4" w:rsidRDefault="0009772E" w:rsidP="001B2014">
            <w:pPr>
              <w:snapToGrid w:val="0"/>
              <w:spacing w:line="100" w:lineRule="atLeast"/>
              <w:rPr>
                <w:rFonts w:eastAsia="DejaVuSans" w:cs="Calibri"/>
              </w:rPr>
            </w:pPr>
            <w:r w:rsidRPr="006761D4">
              <w:rPr>
                <w:rFonts w:cs="Times New Roman"/>
              </w:rPr>
              <w:t>- Liczba odbiorców 7600</w:t>
            </w:r>
          </w:p>
          <w:p w:rsidR="0009772E" w:rsidRPr="006761D4" w:rsidRDefault="0009772E" w:rsidP="001B2014">
            <w:pPr>
              <w:rPr>
                <w:rFonts w:cs="Times New Roman"/>
              </w:rPr>
            </w:pPr>
            <w:r w:rsidRPr="006761D4">
              <w:rPr>
                <w:rFonts w:cs="Times New Roman"/>
              </w:rPr>
              <w:t>- Liczba odbiorców 400</w:t>
            </w:r>
          </w:p>
          <w:p w:rsidR="0009772E" w:rsidRPr="006761D4" w:rsidRDefault="0009772E" w:rsidP="001B2014">
            <w:pPr>
              <w:rPr>
                <w:rFonts w:cs="Times New Roman"/>
              </w:rPr>
            </w:pPr>
            <w:r w:rsidRPr="006761D4">
              <w:rPr>
                <w:rFonts w:cs="Times New Roman"/>
              </w:rPr>
              <w:t>- Liczba odbiorców 1750</w:t>
            </w:r>
          </w:p>
          <w:p w:rsidR="0009772E" w:rsidRPr="006761D4" w:rsidRDefault="0009772E" w:rsidP="001B2014">
            <w:pPr>
              <w:rPr>
                <w:rFonts w:cs="Times New Roman"/>
              </w:rPr>
            </w:pPr>
          </w:p>
          <w:p w:rsidR="0009772E" w:rsidRPr="006761D4" w:rsidRDefault="0009772E" w:rsidP="001B2014">
            <w:pPr>
              <w:rPr>
                <w:rFonts w:cs="Times New Roman"/>
              </w:rPr>
            </w:pPr>
            <w:r w:rsidRPr="006761D4">
              <w:rPr>
                <w:rFonts w:cs="Times New Roman"/>
              </w:rPr>
              <w:t>- Liczba odbiorców 3600</w:t>
            </w:r>
          </w:p>
        </w:tc>
      </w:tr>
    </w:tbl>
    <w:p w:rsidR="0009772E" w:rsidRPr="00B75EC1" w:rsidRDefault="0009772E" w:rsidP="0009772E">
      <w:pPr>
        <w:spacing w:after="0"/>
        <w:rPr>
          <w:rFonts w:cs="Times New Roman"/>
          <w:sz w:val="10"/>
          <w:szCs w:val="10"/>
        </w:rPr>
      </w:pPr>
    </w:p>
    <w:p w:rsidR="0009772E" w:rsidRDefault="0009772E" w:rsidP="0009772E">
      <w:pPr>
        <w:rPr>
          <w:rFonts w:cs="Times New Roman"/>
        </w:rPr>
      </w:pP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imprez promujących LSR</w:t>
      </w:r>
    </w:p>
    <w:p w:rsidR="0009772E" w:rsidRDefault="0009772E" w:rsidP="0009772E">
      <w:pPr>
        <w:rPr>
          <w:rFonts w:cs="Times New Roman"/>
        </w:rPr>
      </w:pPr>
      <w:r>
        <w:rPr>
          <w:rFonts w:cs="Times New Roman"/>
        </w:rPr>
        <w:t>**</w:t>
      </w:r>
      <w:r w:rsidRPr="005D2E16">
        <w:rPr>
          <w:rFonts w:cs="Times New Roman"/>
        </w:rPr>
        <w:t xml:space="preserve"> </w:t>
      </w: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spotkań dla potencjalnych wnioskodawców</w:t>
      </w:r>
    </w:p>
    <w:p w:rsidR="0009772E" w:rsidRPr="005D2E16" w:rsidRDefault="0009772E" w:rsidP="0009772E">
      <w:pPr>
        <w:rPr>
          <w:rFonts w:cs="Times New Roman"/>
        </w:rPr>
      </w:pP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1B2014">
        <w:trPr>
          <w:trHeight w:val="261"/>
          <w:jc w:val="center"/>
        </w:trPr>
        <w:tc>
          <w:tcPr>
            <w:tcW w:w="1717" w:type="dxa"/>
            <w:shd w:val="clear" w:color="auto" w:fill="0070C0"/>
          </w:tcPr>
          <w:p w:rsidR="0009772E" w:rsidRPr="00D70893" w:rsidRDefault="0009772E" w:rsidP="001B2014">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1B2014">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2016-2018</w:t>
            </w:r>
          </w:p>
        </w:tc>
        <w:tc>
          <w:tcPr>
            <w:tcW w:w="5564" w:type="dxa"/>
          </w:tcPr>
          <w:p w:rsidR="0009772E" w:rsidRPr="00F92372" w:rsidRDefault="0009772E" w:rsidP="001B2014">
            <w:pPr>
              <w:jc w:val="center"/>
              <w:rPr>
                <w:rFonts w:cs="Times New Roman"/>
              </w:rPr>
            </w:pPr>
            <w:r w:rsidRPr="00F92372">
              <w:rPr>
                <w:rFonts w:cs="Times New Roman"/>
              </w:rPr>
              <w:t>635.500 zł</w:t>
            </w:r>
          </w:p>
        </w:tc>
      </w:tr>
      <w:tr w:rsidR="0009772E" w:rsidTr="001B2014">
        <w:trPr>
          <w:trHeight w:val="279"/>
          <w:jc w:val="center"/>
        </w:trPr>
        <w:tc>
          <w:tcPr>
            <w:tcW w:w="1717" w:type="dxa"/>
          </w:tcPr>
          <w:p w:rsidR="0009772E" w:rsidRDefault="0009772E" w:rsidP="001B2014">
            <w:pPr>
              <w:jc w:val="center"/>
              <w:rPr>
                <w:rFonts w:cs="Times New Roman"/>
              </w:rPr>
            </w:pPr>
            <w:r>
              <w:rPr>
                <w:rFonts w:cs="Times New Roman"/>
              </w:rPr>
              <w:t>2019-2021</w:t>
            </w:r>
          </w:p>
        </w:tc>
        <w:tc>
          <w:tcPr>
            <w:tcW w:w="5564" w:type="dxa"/>
          </w:tcPr>
          <w:p w:rsidR="0009772E" w:rsidRPr="00F92372" w:rsidRDefault="0009772E" w:rsidP="001B2014">
            <w:pPr>
              <w:jc w:val="center"/>
              <w:rPr>
                <w:rFonts w:cs="Times New Roman"/>
              </w:rPr>
            </w:pPr>
            <w:r w:rsidRPr="00F92372">
              <w:rPr>
                <w:rFonts w:cs="Times New Roman"/>
              </w:rPr>
              <w:t>390.000 zł</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2022-2023</w:t>
            </w:r>
          </w:p>
        </w:tc>
        <w:tc>
          <w:tcPr>
            <w:tcW w:w="5564" w:type="dxa"/>
          </w:tcPr>
          <w:p w:rsidR="0009772E" w:rsidRPr="00F92372" w:rsidRDefault="0009772E" w:rsidP="001B2014">
            <w:pPr>
              <w:jc w:val="center"/>
              <w:rPr>
                <w:rFonts w:cs="Times New Roman"/>
              </w:rPr>
            </w:pPr>
            <w:r w:rsidRPr="00F92372">
              <w:rPr>
                <w:rFonts w:cs="Times New Roman"/>
              </w:rPr>
              <w:t>100.000 zł</w:t>
            </w:r>
          </w:p>
        </w:tc>
      </w:tr>
      <w:tr w:rsidR="0009772E" w:rsidTr="001B2014">
        <w:trPr>
          <w:trHeight w:val="279"/>
          <w:jc w:val="center"/>
        </w:trPr>
        <w:tc>
          <w:tcPr>
            <w:tcW w:w="1717" w:type="dxa"/>
          </w:tcPr>
          <w:p w:rsidR="0009772E" w:rsidRPr="00EA44A8" w:rsidRDefault="0009772E" w:rsidP="001B2014">
            <w:pPr>
              <w:jc w:val="center"/>
              <w:rPr>
                <w:rFonts w:cs="Times New Roman"/>
                <w:b/>
              </w:rPr>
            </w:pPr>
            <w:r w:rsidRPr="00EA44A8">
              <w:rPr>
                <w:rFonts w:cs="Times New Roman"/>
                <w:b/>
              </w:rPr>
              <w:t>RAZEM</w:t>
            </w:r>
          </w:p>
        </w:tc>
        <w:tc>
          <w:tcPr>
            <w:tcW w:w="5564" w:type="dxa"/>
          </w:tcPr>
          <w:p w:rsidR="0009772E" w:rsidRPr="00F92372" w:rsidRDefault="0009772E" w:rsidP="001B2014">
            <w:pPr>
              <w:jc w:val="center"/>
              <w:rPr>
                <w:rFonts w:cs="Times New Roman"/>
                <w:b/>
              </w:rPr>
            </w:pPr>
            <w:r w:rsidRPr="00F92372">
              <w:rPr>
                <w:rFonts w:cs="Times New Roman"/>
                <w:b/>
              </w:rPr>
              <w:t>1.125.500,00 zł</w:t>
            </w:r>
          </w:p>
        </w:tc>
      </w:tr>
    </w:tbl>
    <w:p w:rsidR="0009772E" w:rsidRPr="009F1536" w:rsidRDefault="0009772E" w:rsidP="0009772E"/>
    <w:p w:rsidR="00C501F8" w:rsidRPr="009F1536" w:rsidRDefault="00C501F8" w:rsidP="009F1536"/>
    <w:sectPr w:rsidR="00C501F8" w:rsidRPr="009F1536" w:rsidSect="001B2014">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10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014" w:rsidRDefault="001B2014" w:rsidP="002F3704">
      <w:pPr>
        <w:spacing w:after="0" w:line="240" w:lineRule="auto"/>
      </w:pPr>
      <w:r>
        <w:separator/>
      </w:r>
    </w:p>
  </w:endnote>
  <w:endnote w:type="continuationSeparator" w:id="0">
    <w:p w:rsidR="001B2014" w:rsidRDefault="001B2014"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0693"/>
      <w:docPartObj>
        <w:docPartGallery w:val="Page Numbers (Bottom of Page)"/>
        <w:docPartUnique/>
      </w:docPartObj>
    </w:sdtPr>
    <w:sdtContent>
      <w:p w:rsidR="001B2014" w:rsidRDefault="001B2014">
        <w:pPr>
          <w:pStyle w:val="Stopka"/>
          <w:jc w:val="center"/>
        </w:pPr>
        <w:r>
          <w:t>[</w:t>
        </w:r>
        <w:fldSimple w:instr="PAGE   \* MERGEFORMAT">
          <w:r w:rsidR="00883708">
            <w:rPr>
              <w:noProof/>
            </w:rPr>
            <w:t>98</w:t>
          </w:r>
        </w:fldSimple>
        <w:r>
          <w:t>]</w:t>
        </w:r>
      </w:p>
    </w:sdtContent>
  </w:sdt>
  <w:p w:rsidR="001B2014" w:rsidRDefault="001B201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49283"/>
      <w:docPartObj>
        <w:docPartGallery w:val="Page Numbers (Bottom of Page)"/>
        <w:docPartUnique/>
      </w:docPartObj>
    </w:sdtPr>
    <w:sdtContent>
      <w:p w:rsidR="001B2014" w:rsidRDefault="001B2014">
        <w:pPr>
          <w:pStyle w:val="Stopka"/>
          <w:jc w:val="center"/>
        </w:pPr>
        <w:r>
          <w:t>[</w:t>
        </w:r>
        <w:fldSimple w:instr="PAGE   \* MERGEFORMAT">
          <w:r w:rsidR="00F461CE">
            <w:rPr>
              <w:noProof/>
            </w:rPr>
            <w:t>119</w:t>
          </w:r>
        </w:fldSimple>
        <w:r>
          <w:t>]</w:t>
        </w:r>
      </w:p>
    </w:sdtContent>
  </w:sdt>
  <w:p w:rsidR="001B2014" w:rsidRDefault="001B2014">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014" w:rsidRDefault="001B2014" w:rsidP="002F3704">
      <w:pPr>
        <w:spacing w:after="0" w:line="240" w:lineRule="auto"/>
      </w:pPr>
      <w:r>
        <w:separator/>
      </w:r>
    </w:p>
  </w:footnote>
  <w:footnote w:type="continuationSeparator" w:id="0">
    <w:p w:rsidR="001B2014" w:rsidRDefault="001B2014"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rsidP="00E72BB6">
    <w:pPr>
      <w:pStyle w:val="Nagwek"/>
      <w:pBdr>
        <w:bottom w:val="single" w:sz="4" w:space="1" w:color="auto"/>
      </w:pBdr>
    </w:pPr>
    <w:bookmarkStart w:id="56" w:name="_GoBack"/>
    <w:bookmarkEnd w:id="56"/>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rsidP="00E72BB6">
    <w:pPr>
      <w:pStyle w:val="Nagwek"/>
      <w:pBdr>
        <w:bottom w:val="single" w:sz="4" w:space="1" w:color="auto"/>
      </w:pBdr>
    </w:pPr>
    <w:r>
      <w:t>Lokalna Strategia Rozwoju LGD "Dolina Drwęcy"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14" w:rsidRDefault="001B201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42"/>
  </w:num>
  <w:num w:numId="3">
    <w:abstractNumId w:val="13"/>
  </w:num>
  <w:num w:numId="4">
    <w:abstractNumId w:val="63"/>
  </w:num>
  <w:num w:numId="5">
    <w:abstractNumId w:val="24"/>
  </w:num>
  <w:num w:numId="6">
    <w:abstractNumId w:val="91"/>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0"/>
  </w:num>
  <w:num w:numId="16">
    <w:abstractNumId w:val="65"/>
  </w:num>
  <w:num w:numId="17">
    <w:abstractNumId w:val="27"/>
  </w:num>
  <w:num w:numId="18">
    <w:abstractNumId w:val="87"/>
  </w:num>
  <w:num w:numId="19">
    <w:abstractNumId w:val="51"/>
  </w:num>
  <w:num w:numId="20">
    <w:abstractNumId w:val="38"/>
  </w:num>
  <w:num w:numId="21">
    <w:abstractNumId w:val="93"/>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1"/>
  </w:num>
  <w:num w:numId="36">
    <w:abstractNumId w:val="57"/>
  </w:num>
  <w:num w:numId="37">
    <w:abstractNumId w:val="98"/>
  </w:num>
  <w:num w:numId="38">
    <w:abstractNumId w:val="70"/>
  </w:num>
  <w:num w:numId="39">
    <w:abstractNumId w:val="54"/>
  </w:num>
  <w:num w:numId="40">
    <w:abstractNumId w:val="19"/>
  </w:num>
  <w:num w:numId="41">
    <w:abstractNumId w:val="90"/>
  </w:num>
  <w:num w:numId="42">
    <w:abstractNumId w:val="71"/>
  </w:num>
  <w:num w:numId="43">
    <w:abstractNumId w:val="56"/>
  </w:num>
  <w:num w:numId="44">
    <w:abstractNumId w:val="49"/>
  </w:num>
  <w:num w:numId="45">
    <w:abstractNumId w:val="95"/>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2"/>
  </w:num>
  <w:num w:numId="55">
    <w:abstractNumId w:val="60"/>
  </w:num>
  <w:num w:numId="56">
    <w:abstractNumId w:val="97"/>
  </w:num>
  <w:num w:numId="57">
    <w:abstractNumId w:val="44"/>
  </w:num>
  <w:num w:numId="58">
    <w:abstractNumId w:val="46"/>
  </w:num>
  <w:num w:numId="59">
    <w:abstractNumId w:val="31"/>
  </w:num>
  <w:num w:numId="60">
    <w:abstractNumId w:val="74"/>
  </w:num>
  <w:num w:numId="61">
    <w:abstractNumId w:val="79"/>
  </w:num>
  <w:num w:numId="62">
    <w:abstractNumId w:val="89"/>
  </w:num>
  <w:num w:numId="63">
    <w:abstractNumId w:val="76"/>
  </w:num>
  <w:num w:numId="64">
    <w:abstractNumId w:val="16"/>
  </w:num>
  <w:num w:numId="65">
    <w:abstractNumId w:val="39"/>
  </w:num>
  <w:num w:numId="66">
    <w:abstractNumId w:val="35"/>
  </w:num>
  <w:num w:numId="67">
    <w:abstractNumId w:val="50"/>
  </w:num>
  <w:num w:numId="68">
    <w:abstractNumId w:val="88"/>
  </w:num>
  <w:num w:numId="69">
    <w:abstractNumId w:val="34"/>
  </w:num>
  <w:num w:numId="70">
    <w:abstractNumId w:val="15"/>
  </w:num>
  <w:num w:numId="71">
    <w:abstractNumId w:val="26"/>
  </w:num>
  <w:num w:numId="72">
    <w:abstractNumId w:val="96"/>
  </w:num>
  <w:num w:numId="73">
    <w:abstractNumId w:val="18"/>
  </w:num>
  <w:num w:numId="74">
    <w:abstractNumId w:val="6"/>
  </w:num>
  <w:num w:numId="75">
    <w:abstractNumId w:val="73"/>
  </w:num>
  <w:num w:numId="76">
    <w:abstractNumId w:val="9"/>
  </w:num>
  <w:num w:numId="77">
    <w:abstractNumId w:val="72"/>
  </w:num>
  <w:num w:numId="78">
    <w:abstractNumId w:val="99"/>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18465"/>
  </w:hdrShapeDefaults>
  <w:footnotePr>
    <w:footnote w:id="-1"/>
    <w:footnote w:id="0"/>
  </w:footnotePr>
  <w:endnotePr>
    <w:endnote w:id="-1"/>
    <w:endnote w:id="0"/>
  </w:endnotePr>
  <w:compat/>
  <w:rsids>
    <w:rsidRoot w:val="00F9448A"/>
    <w:rsid w:val="000008EE"/>
    <w:rsid w:val="00001FD4"/>
    <w:rsid w:val="00002243"/>
    <w:rsid w:val="000057C6"/>
    <w:rsid w:val="00006C61"/>
    <w:rsid w:val="00006DE7"/>
    <w:rsid w:val="00010BA3"/>
    <w:rsid w:val="000121F4"/>
    <w:rsid w:val="00013204"/>
    <w:rsid w:val="00014011"/>
    <w:rsid w:val="000152F3"/>
    <w:rsid w:val="00015945"/>
    <w:rsid w:val="0001635A"/>
    <w:rsid w:val="0001744D"/>
    <w:rsid w:val="00020A82"/>
    <w:rsid w:val="00020C4D"/>
    <w:rsid w:val="00021FC2"/>
    <w:rsid w:val="0002295D"/>
    <w:rsid w:val="00024085"/>
    <w:rsid w:val="000321A2"/>
    <w:rsid w:val="00032576"/>
    <w:rsid w:val="00032827"/>
    <w:rsid w:val="00033E33"/>
    <w:rsid w:val="000349B2"/>
    <w:rsid w:val="00034FFD"/>
    <w:rsid w:val="000360F1"/>
    <w:rsid w:val="0004179B"/>
    <w:rsid w:val="00043C02"/>
    <w:rsid w:val="00043E91"/>
    <w:rsid w:val="00043ECB"/>
    <w:rsid w:val="00046C90"/>
    <w:rsid w:val="000470FE"/>
    <w:rsid w:val="00047E0A"/>
    <w:rsid w:val="0005114F"/>
    <w:rsid w:val="00051CE2"/>
    <w:rsid w:val="000541AD"/>
    <w:rsid w:val="00056386"/>
    <w:rsid w:val="0005736F"/>
    <w:rsid w:val="00057E9F"/>
    <w:rsid w:val="00060DE6"/>
    <w:rsid w:val="0006151A"/>
    <w:rsid w:val="000621AC"/>
    <w:rsid w:val="00062723"/>
    <w:rsid w:val="0006478E"/>
    <w:rsid w:val="000655E9"/>
    <w:rsid w:val="00065907"/>
    <w:rsid w:val="00066240"/>
    <w:rsid w:val="000668B8"/>
    <w:rsid w:val="00067F94"/>
    <w:rsid w:val="000700B5"/>
    <w:rsid w:val="0007024C"/>
    <w:rsid w:val="000734AF"/>
    <w:rsid w:val="000734BA"/>
    <w:rsid w:val="000737D0"/>
    <w:rsid w:val="00073B83"/>
    <w:rsid w:val="00073DCE"/>
    <w:rsid w:val="000752E6"/>
    <w:rsid w:val="000768D0"/>
    <w:rsid w:val="000774A1"/>
    <w:rsid w:val="0007760F"/>
    <w:rsid w:val="0007789E"/>
    <w:rsid w:val="00081C28"/>
    <w:rsid w:val="000834D4"/>
    <w:rsid w:val="000837CA"/>
    <w:rsid w:val="00084599"/>
    <w:rsid w:val="00084759"/>
    <w:rsid w:val="00084809"/>
    <w:rsid w:val="00085030"/>
    <w:rsid w:val="000854D0"/>
    <w:rsid w:val="00085549"/>
    <w:rsid w:val="000855DE"/>
    <w:rsid w:val="00086E3B"/>
    <w:rsid w:val="00087169"/>
    <w:rsid w:val="0008721B"/>
    <w:rsid w:val="00093B33"/>
    <w:rsid w:val="0009419E"/>
    <w:rsid w:val="0009772E"/>
    <w:rsid w:val="00097B4C"/>
    <w:rsid w:val="000A0530"/>
    <w:rsid w:val="000A1410"/>
    <w:rsid w:val="000A456F"/>
    <w:rsid w:val="000A4587"/>
    <w:rsid w:val="000A54AD"/>
    <w:rsid w:val="000A56F1"/>
    <w:rsid w:val="000A608D"/>
    <w:rsid w:val="000A6653"/>
    <w:rsid w:val="000A7565"/>
    <w:rsid w:val="000A7572"/>
    <w:rsid w:val="000B0603"/>
    <w:rsid w:val="000B27B6"/>
    <w:rsid w:val="000B4FC4"/>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E0A8B"/>
    <w:rsid w:val="000E0CEA"/>
    <w:rsid w:val="000E2A73"/>
    <w:rsid w:val="000E6DBD"/>
    <w:rsid w:val="000E7907"/>
    <w:rsid w:val="000F011E"/>
    <w:rsid w:val="000F10C4"/>
    <w:rsid w:val="000F165B"/>
    <w:rsid w:val="000F2C58"/>
    <w:rsid w:val="000F3E4B"/>
    <w:rsid w:val="000F5322"/>
    <w:rsid w:val="000F588D"/>
    <w:rsid w:val="000F6CEE"/>
    <w:rsid w:val="000F6FF9"/>
    <w:rsid w:val="000F7235"/>
    <w:rsid w:val="00100ABB"/>
    <w:rsid w:val="00104F58"/>
    <w:rsid w:val="0011011A"/>
    <w:rsid w:val="001129E4"/>
    <w:rsid w:val="00112A94"/>
    <w:rsid w:val="00113FD3"/>
    <w:rsid w:val="0011524B"/>
    <w:rsid w:val="0012207F"/>
    <w:rsid w:val="00123095"/>
    <w:rsid w:val="00124190"/>
    <w:rsid w:val="001249F1"/>
    <w:rsid w:val="00124CBB"/>
    <w:rsid w:val="00126E4B"/>
    <w:rsid w:val="00127E55"/>
    <w:rsid w:val="00130933"/>
    <w:rsid w:val="001347B9"/>
    <w:rsid w:val="00134FDA"/>
    <w:rsid w:val="001360F5"/>
    <w:rsid w:val="00140830"/>
    <w:rsid w:val="00140CBF"/>
    <w:rsid w:val="00142189"/>
    <w:rsid w:val="00142A6D"/>
    <w:rsid w:val="00143ACE"/>
    <w:rsid w:val="00143F4D"/>
    <w:rsid w:val="00144E0A"/>
    <w:rsid w:val="00144EF8"/>
    <w:rsid w:val="001467F9"/>
    <w:rsid w:val="00146A7C"/>
    <w:rsid w:val="00146E76"/>
    <w:rsid w:val="00150257"/>
    <w:rsid w:val="001510F2"/>
    <w:rsid w:val="00152DBD"/>
    <w:rsid w:val="001564F5"/>
    <w:rsid w:val="00156F3C"/>
    <w:rsid w:val="00157E27"/>
    <w:rsid w:val="00160F3E"/>
    <w:rsid w:val="00163A26"/>
    <w:rsid w:val="00164AF8"/>
    <w:rsid w:val="00165DD7"/>
    <w:rsid w:val="001663B8"/>
    <w:rsid w:val="001666BD"/>
    <w:rsid w:val="00170F48"/>
    <w:rsid w:val="00171DBB"/>
    <w:rsid w:val="001723DC"/>
    <w:rsid w:val="001723ED"/>
    <w:rsid w:val="00172D19"/>
    <w:rsid w:val="00175205"/>
    <w:rsid w:val="001777E2"/>
    <w:rsid w:val="00184F76"/>
    <w:rsid w:val="00185EA3"/>
    <w:rsid w:val="001861D0"/>
    <w:rsid w:val="001862D3"/>
    <w:rsid w:val="00186AA6"/>
    <w:rsid w:val="00193E63"/>
    <w:rsid w:val="0019430F"/>
    <w:rsid w:val="00194BF3"/>
    <w:rsid w:val="0019756D"/>
    <w:rsid w:val="0019774A"/>
    <w:rsid w:val="001A10FD"/>
    <w:rsid w:val="001A2327"/>
    <w:rsid w:val="001A3E75"/>
    <w:rsid w:val="001A44EF"/>
    <w:rsid w:val="001A61B8"/>
    <w:rsid w:val="001A6B3E"/>
    <w:rsid w:val="001B1A12"/>
    <w:rsid w:val="001B2014"/>
    <w:rsid w:val="001B4805"/>
    <w:rsid w:val="001B5352"/>
    <w:rsid w:val="001B5440"/>
    <w:rsid w:val="001C019E"/>
    <w:rsid w:val="001C1418"/>
    <w:rsid w:val="001C2201"/>
    <w:rsid w:val="001C2BBD"/>
    <w:rsid w:val="001C34BF"/>
    <w:rsid w:val="001C3F31"/>
    <w:rsid w:val="001C4DA6"/>
    <w:rsid w:val="001C6596"/>
    <w:rsid w:val="001D02F7"/>
    <w:rsid w:val="001D21D7"/>
    <w:rsid w:val="001D2411"/>
    <w:rsid w:val="001D3521"/>
    <w:rsid w:val="001D361D"/>
    <w:rsid w:val="001D423A"/>
    <w:rsid w:val="001D6C2A"/>
    <w:rsid w:val="001D7548"/>
    <w:rsid w:val="001D7B86"/>
    <w:rsid w:val="001E0F25"/>
    <w:rsid w:val="001E168F"/>
    <w:rsid w:val="001E1986"/>
    <w:rsid w:val="001E1F8D"/>
    <w:rsid w:val="001E25FB"/>
    <w:rsid w:val="001E37D8"/>
    <w:rsid w:val="001E49A9"/>
    <w:rsid w:val="001E4B80"/>
    <w:rsid w:val="001E5E2B"/>
    <w:rsid w:val="001F0B60"/>
    <w:rsid w:val="001F1735"/>
    <w:rsid w:val="001F39F6"/>
    <w:rsid w:val="001F599E"/>
    <w:rsid w:val="001F61A5"/>
    <w:rsid w:val="00200E7C"/>
    <w:rsid w:val="00200F43"/>
    <w:rsid w:val="0020325B"/>
    <w:rsid w:val="00203717"/>
    <w:rsid w:val="0020454E"/>
    <w:rsid w:val="00205FBF"/>
    <w:rsid w:val="0020698A"/>
    <w:rsid w:val="00207401"/>
    <w:rsid w:val="002103A1"/>
    <w:rsid w:val="00211E47"/>
    <w:rsid w:val="00213F08"/>
    <w:rsid w:val="0021510C"/>
    <w:rsid w:val="002153A9"/>
    <w:rsid w:val="0021573A"/>
    <w:rsid w:val="00215C13"/>
    <w:rsid w:val="00216666"/>
    <w:rsid w:val="0021756C"/>
    <w:rsid w:val="00217A38"/>
    <w:rsid w:val="0022030A"/>
    <w:rsid w:val="00222312"/>
    <w:rsid w:val="00225518"/>
    <w:rsid w:val="002261CA"/>
    <w:rsid w:val="00226713"/>
    <w:rsid w:val="002268A6"/>
    <w:rsid w:val="00226C5E"/>
    <w:rsid w:val="00230A44"/>
    <w:rsid w:val="00230A6A"/>
    <w:rsid w:val="0023138A"/>
    <w:rsid w:val="00231E79"/>
    <w:rsid w:val="00232A06"/>
    <w:rsid w:val="0023478F"/>
    <w:rsid w:val="002359A4"/>
    <w:rsid w:val="00236027"/>
    <w:rsid w:val="002402E0"/>
    <w:rsid w:val="002407B1"/>
    <w:rsid w:val="00240F18"/>
    <w:rsid w:val="002420AB"/>
    <w:rsid w:val="00246436"/>
    <w:rsid w:val="00246642"/>
    <w:rsid w:val="00246CE6"/>
    <w:rsid w:val="00246ECC"/>
    <w:rsid w:val="0024741D"/>
    <w:rsid w:val="00247812"/>
    <w:rsid w:val="00251F42"/>
    <w:rsid w:val="00252358"/>
    <w:rsid w:val="00252AA8"/>
    <w:rsid w:val="00254036"/>
    <w:rsid w:val="00254907"/>
    <w:rsid w:val="002550A2"/>
    <w:rsid w:val="00261EF8"/>
    <w:rsid w:val="00262803"/>
    <w:rsid w:val="002630CD"/>
    <w:rsid w:val="00263968"/>
    <w:rsid w:val="00264080"/>
    <w:rsid w:val="00265DFF"/>
    <w:rsid w:val="00266D59"/>
    <w:rsid w:val="00270809"/>
    <w:rsid w:val="00271053"/>
    <w:rsid w:val="0027247D"/>
    <w:rsid w:val="00272BD6"/>
    <w:rsid w:val="00280FA8"/>
    <w:rsid w:val="00281077"/>
    <w:rsid w:val="002811C6"/>
    <w:rsid w:val="002816B5"/>
    <w:rsid w:val="00287F31"/>
    <w:rsid w:val="00287FC7"/>
    <w:rsid w:val="00290451"/>
    <w:rsid w:val="00290454"/>
    <w:rsid w:val="00292ADC"/>
    <w:rsid w:val="00293194"/>
    <w:rsid w:val="00293940"/>
    <w:rsid w:val="00293F50"/>
    <w:rsid w:val="002950EE"/>
    <w:rsid w:val="00296EBA"/>
    <w:rsid w:val="0029723F"/>
    <w:rsid w:val="00297A82"/>
    <w:rsid w:val="00297F85"/>
    <w:rsid w:val="002A107C"/>
    <w:rsid w:val="002A160A"/>
    <w:rsid w:val="002A3BAA"/>
    <w:rsid w:val="002A5E1F"/>
    <w:rsid w:val="002A6735"/>
    <w:rsid w:val="002A6D35"/>
    <w:rsid w:val="002A7CDD"/>
    <w:rsid w:val="002B33D2"/>
    <w:rsid w:val="002B4219"/>
    <w:rsid w:val="002B5CCD"/>
    <w:rsid w:val="002B74F3"/>
    <w:rsid w:val="002B7BA2"/>
    <w:rsid w:val="002C02D4"/>
    <w:rsid w:val="002C0B26"/>
    <w:rsid w:val="002C3D01"/>
    <w:rsid w:val="002C557C"/>
    <w:rsid w:val="002C56E6"/>
    <w:rsid w:val="002C6821"/>
    <w:rsid w:val="002C69AC"/>
    <w:rsid w:val="002C7584"/>
    <w:rsid w:val="002D0679"/>
    <w:rsid w:val="002D239E"/>
    <w:rsid w:val="002D3254"/>
    <w:rsid w:val="002D381D"/>
    <w:rsid w:val="002D525C"/>
    <w:rsid w:val="002E0016"/>
    <w:rsid w:val="002E124D"/>
    <w:rsid w:val="002E1866"/>
    <w:rsid w:val="002E2677"/>
    <w:rsid w:val="002E4F6B"/>
    <w:rsid w:val="002E59B4"/>
    <w:rsid w:val="002E5ACF"/>
    <w:rsid w:val="002E5B3D"/>
    <w:rsid w:val="002F1267"/>
    <w:rsid w:val="002F21F2"/>
    <w:rsid w:val="002F3441"/>
    <w:rsid w:val="002F3704"/>
    <w:rsid w:val="002F50C9"/>
    <w:rsid w:val="002F575C"/>
    <w:rsid w:val="00301E26"/>
    <w:rsid w:val="00303AF1"/>
    <w:rsid w:val="00304827"/>
    <w:rsid w:val="00305AD3"/>
    <w:rsid w:val="00306B29"/>
    <w:rsid w:val="00306B9F"/>
    <w:rsid w:val="00307EC9"/>
    <w:rsid w:val="003100C9"/>
    <w:rsid w:val="003107AA"/>
    <w:rsid w:val="00312AAE"/>
    <w:rsid w:val="003138F7"/>
    <w:rsid w:val="00313E93"/>
    <w:rsid w:val="003149EA"/>
    <w:rsid w:val="00314BD1"/>
    <w:rsid w:val="00315536"/>
    <w:rsid w:val="00315BED"/>
    <w:rsid w:val="0031601B"/>
    <w:rsid w:val="00316457"/>
    <w:rsid w:val="003175D0"/>
    <w:rsid w:val="00317707"/>
    <w:rsid w:val="003212FB"/>
    <w:rsid w:val="003232D7"/>
    <w:rsid w:val="00324CEA"/>
    <w:rsid w:val="00330661"/>
    <w:rsid w:val="00330F99"/>
    <w:rsid w:val="003318CD"/>
    <w:rsid w:val="00331F0C"/>
    <w:rsid w:val="00335705"/>
    <w:rsid w:val="0033592C"/>
    <w:rsid w:val="0033646B"/>
    <w:rsid w:val="00336C08"/>
    <w:rsid w:val="0034099E"/>
    <w:rsid w:val="00341260"/>
    <w:rsid w:val="003433CA"/>
    <w:rsid w:val="0034401B"/>
    <w:rsid w:val="00345EBE"/>
    <w:rsid w:val="003529FE"/>
    <w:rsid w:val="00352B54"/>
    <w:rsid w:val="003538E4"/>
    <w:rsid w:val="003553A4"/>
    <w:rsid w:val="00360104"/>
    <w:rsid w:val="00360495"/>
    <w:rsid w:val="003605FC"/>
    <w:rsid w:val="00360856"/>
    <w:rsid w:val="00365FC5"/>
    <w:rsid w:val="00366F7C"/>
    <w:rsid w:val="00371B8A"/>
    <w:rsid w:val="00371D1C"/>
    <w:rsid w:val="0037207F"/>
    <w:rsid w:val="00373141"/>
    <w:rsid w:val="00374655"/>
    <w:rsid w:val="00375258"/>
    <w:rsid w:val="00376B07"/>
    <w:rsid w:val="00376C29"/>
    <w:rsid w:val="003805E8"/>
    <w:rsid w:val="00383102"/>
    <w:rsid w:val="003856A0"/>
    <w:rsid w:val="003905CF"/>
    <w:rsid w:val="00391691"/>
    <w:rsid w:val="003916EA"/>
    <w:rsid w:val="00392331"/>
    <w:rsid w:val="003927BA"/>
    <w:rsid w:val="0039320F"/>
    <w:rsid w:val="00394C4F"/>
    <w:rsid w:val="00395133"/>
    <w:rsid w:val="00396777"/>
    <w:rsid w:val="00396927"/>
    <w:rsid w:val="00396BCC"/>
    <w:rsid w:val="003A20BA"/>
    <w:rsid w:val="003A2E51"/>
    <w:rsid w:val="003A36D9"/>
    <w:rsid w:val="003A3931"/>
    <w:rsid w:val="003A59E0"/>
    <w:rsid w:val="003B1696"/>
    <w:rsid w:val="003B1DCD"/>
    <w:rsid w:val="003B30F3"/>
    <w:rsid w:val="003B3B21"/>
    <w:rsid w:val="003C0E33"/>
    <w:rsid w:val="003C27B6"/>
    <w:rsid w:val="003C2B88"/>
    <w:rsid w:val="003C41AF"/>
    <w:rsid w:val="003C79D9"/>
    <w:rsid w:val="003C7AAF"/>
    <w:rsid w:val="003D04C0"/>
    <w:rsid w:val="003D1623"/>
    <w:rsid w:val="003D18F0"/>
    <w:rsid w:val="003D3C37"/>
    <w:rsid w:val="003D446C"/>
    <w:rsid w:val="003D5103"/>
    <w:rsid w:val="003D6D3A"/>
    <w:rsid w:val="003D7219"/>
    <w:rsid w:val="003E0F58"/>
    <w:rsid w:val="003E108B"/>
    <w:rsid w:val="003E287A"/>
    <w:rsid w:val="003E2DCA"/>
    <w:rsid w:val="003E31D9"/>
    <w:rsid w:val="003E60E7"/>
    <w:rsid w:val="003E6C2D"/>
    <w:rsid w:val="003E6FB6"/>
    <w:rsid w:val="003F1898"/>
    <w:rsid w:val="003F1942"/>
    <w:rsid w:val="003F19DC"/>
    <w:rsid w:val="003F1F83"/>
    <w:rsid w:val="003F27DA"/>
    <w:rsid w:val="003F3A3D"/>
    <w:rsid w:val="003F4425"/>
    <w:rsid w:val="003F6876"/>
    <w:rsid w:val="00400325"/>
    <w:rsid w:val="00401E1A"/>
    <w:rsid w:val="00402011"/>
    <w:rsid w:val="00402995"/>
    <w:rsid w:val="00403790"/>
    <w:rsid w:val="004050C4"/>
    <w:rsid w:val="00406A85"/>
    <w:rsid w:val="0040785E"/>
    <w:rsid w:val="00410BA0"/>
    <w:rsid w:val="004127E9"/>
    <w:rsid w:val="00413147"/>
    <w:rsid w:val="00416B7E"/>
    <w:rsid w:val="00421A43"/>
    <w:rsid w:val="00423D2A"/>
    <w:rsid w:val="00426DFA"/>
    <w:rsid w:val="00431EAC"/>
    <w:rsid w:val="00433361"/>
    <w:rsid w:val="00434BC7"/>
    <w:rsid w:val="00435F75"/>
    <w:rsid w:val="00436AB4"/>
    <w:rsid w:val="004376E5"/>
    <w:rsid w:val="0043771C"/>
    <w:rsid w:val="004403D6"/>
    <w:rsid w:val="0044349B"/>
    <w:rsid w:val="00443E37"/>
    <w:rsid w:val="004457F1"/>
    <w:rsid w:val="00445B73"/>
    <w:rsid w:val="00445E9D"/>
    <w:rsid w:val="0045028B"/>
    <w:rsid w:val="00451DE4"/>
    <w:rsid w:val="0045218D"/>
    <w:rsid w:val="00454840"/>
    <w:rsid w:val="0045528A"/>
    <w:rsid w:val="0045654F"/>
    <w:rsid w:val="004603E5"/>
    <w:rsid w:val="00463B80"/>
    <w:rsid w:val="004646F1"/>
    <w:rsid w:val="00465228"/>
    <w:rsid w:val="00467993"/>
    <w:rsid w:val="0047053D"/>
    <w:rsid w:val="004715A8"/>
    <w:rsid w:val="0047189E"/>
    <w:rsid w:val="00473204"/>
    <w:rsid w:val="00473671"/>
    <w:rsid w:val="00473FAF"/>
    <w:rsid w:val="00474DB2"/>
    <w:rsid w:val="00475235"/>
    <w:rsid w:val="00480070"/>
    <w:rsid w:val="00480585"/>
    <w:rsid w:val="0048423C"/>
    <w:rsid w:val="004854D6"/>
    <w:rsid w:val="00485C41"/>
    <w:rsid w:val="004870ED"/>
    <w:rsid w:val="00487903"/>
    <w:rsid w:val="00490FFC"/>
    <w:rsid w:val="00491042"/>
    <w:rsid w:val="00492153"/>
    <w:rsid w:val="00494A3D"/>
    <w:rsid w:val="0049596F"/>
    <w:rsid w:val="004A15D7"/>
    <w:rsid w:val="004A22FB"/>
    <w:rsid w:val="004A24DB"/>
    <w:rsid w:val="004A44DD"/>
    <w:rsid w:val="004A4A6F"/>
    <w:rsid w:val="004A52C2"/>
    <w:rsid w:val="004A5758"/>
    <w:rsid w:val="004A6139"/>
    <w:rsid w:val="004A7DA2"/>
    <w:rsid w:val="004B09BD"/>
    <w:rsid w:val="004B4A96"/>
    <w:rsid w:val="004B4B41"/>
    <w:rsid w:val="004B7D10"/>
    <w:rsid w:val="004C1356"/>
    <w:rsid w:val="004C23CE"/>
    <w:rsid w:val="004C30BB"/>
    <w:rsid w:val="004C4429"/>
    <w:rsid w:val="004C5A58"/>
    <w:rsid w:val="004C6F0E"/>
    <w:rsid w:val="004D0646"/>
    <w:rsid w:val="004D1462"/>
    <w:rsid w:val="004D1915"/>
    <w:rsid w:val="004D2706"/>
    <w:rsid w:val="004D27B4"/>
    <w:rsid w:val="004D4635"/>
    <w:rsid w:val="004D4F3B"/>
    <w:rsid w:val="004D53A5"/>
    <w:rsid w:val="004D6109"/>
    <w:rsid w:val="004E0408"/>
    <w:rsid w:val="004E12C1"/>
    <w:rsid w:val="004E35B6"/>
    <w:rsid w:val="004E3E5C"/>
    <w:rsid w:val="004E4174"/>
    <w:rsid w:val="004E4818"/>
    <w:rsid w:val="004E4887"/>
    <w:rsid w:val="004E512C"/>
    <w:rsid w:val="004E6BED"/>
    <w:rsid w:val="004E7563"/>
    <w:rsid w:val="004F08DE"/>
    <w:rsid w:val="004F2BFE"/>
    <w:rsid w:val="004F49BE"/>
    <w:rsid w:val="004F5DD4"/>
    <w:rsid w:val="004F6495"/>
    <w:rsid w:val="004F6959"/>
    <w:rsid w:val="004F7C07"/>
    <w:rsid w:val="004F7D3A"/>
    <w:rsid w:val="00500768"/>
    <w:rsid w:val="00500A8A"/>
    <w:rsid w:val="00501DE2"/>
    <w:rsid w:val="005021FA"/>
    <w:rsid w:val="00502A10"/>
    <w:rsid w:val="0050316B"/>
    <w:rsid w:val="005055FE"/>
    <w:rsid w:val="00506043"/>
    <w:rsid w:val="005073D9"/>
    <w:rsid w:val="00510C82"/>
    <w:rsid w:val="00515A55"/>
    <w:rsid w:val="00516704"/>
    <w:rsid w:val="00516BAE"/>
    <w:rsid w:val="00521896"/>
    <w:rsid w:val="005221AA"/>
    <w:rsid w:val="005232F3"/>
    <w:rsid w:val="00523659"/>
    <w:rsid w:val="00524089"/>
    <w:rsid w:val="00524179"/>
    <w:rsid w:val="005272E7"/>
    <w:rsid w:val="0052797A"/>
    <w:rsid w:val="00527CA9"/>
    <w:rsid w:val="00527F05"/>
    <w:rsid w:val="00530DCD"/>
    <w:rsid w:val="00531084"/>
    <w:rsid w:val="00531562"/>
    <w:rsid w:val="00532F79"/>
    <w:rsid w:val="005333FE"/>
    <w:rsid w:val="0053394C"/>
    <w:rsid w:val="00533BB1"/>
    <w:rsid w:val="00535DAC"/>
    <w:rsid w:val="00540906"/>
    <w:rsid w:val="005416CD"/>
    <w:rsid w:val="005427B0"/>
    <w:rsid w:val="00544FFA"/>
    <w:rsid w:val="00545162"/>
    <w:rsid w:val="00545BDA"/>
    <w:rsid w:val="00547A43"/>
    <w:rsid w:val="0055029C"/>
    <w:rsid w:val="00552968"/>
    <w:rsid w:val="00552DF7"/>
    <w:rsid w:val="00555A1C"/>
    <w:rsid w:val="00555E2B"/>
    <w:rsid w:val="00562D68"/>
    <w:rsid w:val="00565E27"/>
    <w:rsid w:val="00567E74"/>
    <w:rsid w:val="00570489"/>
    <w:rsid w:val="00571CFF"/>
    <w:rsid w:val="005722C7"/>
    <w:rsid w:val="0057233A"/>
    <w:rsid w:val="00572F35"/>
    <w:rsid w:val="005767AD"/>
    <w:rsid w:val="0057772E"/>
    <w:rsid w:val="00577A02"/>
    <w:rsid w:val="00581BF9"/>
    <w:rsid w:val="00581E25"/>
    <w:rsid w:val="00586179"/>
    <w:rsid w:val="00587F11"/>
    <w:rsid w:val="00590864"/>
    <w:rsid w:val="00591F0B"/>
    <w:rsid w:val="005928A2"/>
    <w:rsid w:val="00592CAE"/>
    <w:rsid w:val="005962AA"/>
    <w:rsid w:val="005965DC"/>
    <w:rsid w:val="00597288"/>
    <w:rsid w:val="00597876"/>
    <w:rsid w:val="005978D6"/>
    <w:rsid w:val="005A0814"/>
    <w:rsid w:val="005A133D"/>
    <w:rsid w:val="005A6682"/>
    <w:rsid w:val="005A6C71"/>
    <w:rsid w:val="005B0A37"/>
    <w:rsid w:val="005B1ABB"/>
    <w:rsid w:val="005C0304"/>
    <w:rsid w:val="005C1114"/>
    <w:rsid w:val="005C1B90"/>
    <w:rsid w:val="005C4AA4"/>
    <w:rsid w:val="005C5CA5"/>
    <w:rsid w:val="005C6465"/>
    <w:rsid w:val="005C6D40"/>
    <w:rsid w:val="005C7093"/>
    <w:rsid w:val="005D0A5F"/>
    <w:rsid w:val="005D1086"/>
    <w:rsid w:val="005D154E"/>
    <w:rsid w:val="005D19DD"/>
    <w:rsid w:val="005D1CD6"/>
    <w:rsid w:val="005D2F9A"/>
    <w:rsid w:val="005D462B"/>
    <w:rsid w:val="005D7FF9"/>
    <w:rsid w:val="005E16B5"/>
    <w:rsid w:val="005E2E17"/>
    <w:rsid w:val="005E31BA"/>
    <w:rsid w:val="005E4240"/>
    <w:rsid w:val="005E447F"/>
    <w:rsid w:val="005E5F33"/>
    <w:rsid w:val="005F0980"/>
    <w:rsid w:val="005F163F"/>
    <w:rsid w:val="005F2600"/>
    <w:rsid w:val="005F2F5D"/>
    <w:rsid w:val="005F3117"/>
    <w:rsid w:val="005F3925"/>
    <w:rsid w:val="005F4A22"/>
    <w:rsid w:val="005F4C65"/>
    <w:rsid w:val="005F4CB9"/>
    <w:rsid w:val="005F5B83"/>
    <w:rsid w:val="005F5FD8"/>
    <w:rsid w:val="005F6414"/>
    <w:rsid w:val="005F7191"/>
    <w:rsid w:val="005F79CE"/>
    <w:rsid w:val="0060245F"/>
    <w:rsid w:val="00602AA9"/>
    <w:rsid w:val="00605CEE"/>
    <w:rsid w:val="00606E1B"/>
    <w:rsid w:val="00611E57"/>
    <w:rsid w:val="00614166"/>
    <w:rsid w:val="00614ADB"/>
    <w:rsid w:val="006153E6"/>
    <w:rsid w:val="00616C36"/>
    <w:rsid w:val="006170D1"/>
    <w:rsid w:val="0062226C"/>
    <w:rsid w:val="006222F4"/>
    <w:rsid w:val="00622EB3"/>
    <w:rsid w:val="00623BC3"/>
    <w:rsid w:val="0062467B"/>
    <w:rsid w:val="006250A1"/>
    <w:rsid w:val="00630704"/>
    <w:rsid w:val="0063137E"/>
    <w:rsid w:val="00632CEB"/>
    <w:rsid w:val="00636F5F"/>
    <w:rsid w:val="006370EF"/>
    <w:rsid w:val="00640783"/>
    <w:rsid w:val="00640911"/>
    <w:rsid w:val="00640B9D"/>
    <w:rsid w:val="00641EEE"/>
    <w:rsid w:val="00641F36"/>
    <w:rsid w:val="006423B8"/>
    <w:rsid w:val="006436DA"/>
    <w:rsid w:val="00645165"/>
    <w:rsid w:val="00645174"/>
    <w:rsid w:val="00645686"/>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C94"/>
    <w:rsid w:val="00665A09"/>
    <w:rsid w:val="00670B8D"/>
    <w:rsid w:val="00671963"/>
    <w:rsid w:val="00671A84"/>
    <w:rsid w:val="00671CAA"/>
    <w:rsid w:val="00673797"/>
    <w:rsid w:val="006744B8"/>
    <w:rsid w:val="00675714"/>
    <w:rsid w:val="00676816"/>
    <w:rsid w:val="006778A9"/>
    <w:rsid w:val="00677CFD"/>
    <w:rsid w:val="0068147E"/>
    <w:rsid w:val="006818DD"/>
    <w:rsid w:val="00682765"/>
    <w:rsid w:val="006836AC"/>
    <w:rsid w:val="00683FDC"/>
    <w:rsid w:val="006859B0"/>
    <w:rsid w:val="00685B91"/>
    <w:rsid w:val="00687823"/>
    <w:rsid w:val="006915CF"/>
    <w:rsid w:val="00692A32"/>
    <w:rsid w:val="00693A4A"/>
    <w:rsid w:val="00693EBA"/>
    <w:rsid w:val="00694463"/>
    <w:rsid w:val="00694890"/>
    <w:rsid w:val="006956DA"/>
    <w:rsid w:val="00696411"/>
    <w:rsid w:val="00697AF8"/>
    <w:rsid w:val="006A114F"/>
    <w:rsid w:val="006A1BB0"/>
    <w:rsid w:val="006A4963"/>
    <w:rsid w:val="006A5171"/>
    <w:rsid w:val="006A5265"/>
    <w:rsid w:val="006A5FE5"/>
    <w:rsid w:val="006A6E47"/>
    <w:rsid w:val="006A7C58"/>
    <w:rsid w:val="006B1154"/>
    <w:rsid w:val="006B1DF0"/>
    <w:rsid w:val="006B2AC9"/>
    <w:rsid w:val="006B33DE"/>
    <w:rsid w:val="006B3916"/>
    <w:rsid w:val="006B39C0"/>
    <w:rsid w:val="006B54D7"/>
    <w:rsid w:val="006B69A5"/>
    <w:rsid w:val="006B6C3B"/>
    <w:rsid w:val="006C0B50"/>
    <w:rsid w:val="006C2A46"/>
    <w:rsid w:val="006C4591"/>
    <w:rsid w:val="006C532F"/>
    <w:rsid w:val="006C5610"/>
    <w:rsid w:val="006C63B4"/>
    <w:rsid w:val="006C66FA"/>
    <w:rsid w:val="006D00F5"/>
    <w:rsid w:val="006D1C3D"/>
    <w:rsid w:val="006D330E"/>
    <w:rsid w:val="006D4529"/>
    <w:rsid w:val="006D530D"/>
    <w:rsid w:val="006D5887"/>
    <w:rsid w:val="006D5D06"/>
    <w:rsid w:val="006D6129"/>
    <w:rsid w:val="006D6335"/>
    <w:rsid w:val="006D65A4"/>
    <w:rsid w:val="006D6CC1"/>
    <w:rsid w:val="006E06C5"/>
    <w:rsid w:val="006E2523"/>
    <w:rsid w:val="006E2879"/>
    <w:rsid w:val="006E3B74"/>
    <w:rsid w:val="006E5A7D"/>
    <w:rsid w:val="006E6411"/>
    <w:rsid w:val="006E7FC7"/>
    <w:rsid w:val="006F06E5"/>
    <w:rsid w:val="006F104B"/>
    <w:rsid w:val="006F1E30"/>
    <w:rsid w:val="006F3CED"/>
    <w:rsid w:val="006F4DB6"/>
    <w:rsid w:val="006F5168"/>
    <w:rsid w:val="006F5307"/>
    <w:rsid w:val="006F6CE1"/>
    <w:rsid w:val="006F7A30"/>
    <w:rsid w:val="006F7B2C"/>
    <w:rsid w:val="006F7E5A"/>
    <w:rsid w:val="007008FC"/>
    <w:rsid w:val="00701D4A"/>
    <w:rsid w:val="0070327F"/>
    <w:rsid w:val="007043F0"/>
    <w:rsid w:val="00706605"/>
    <w:rsid w:val="00707AF9"/>
    <w:rsid w:val="00707CD9"/>
    <w:rsid w:val="007103EF"/>
    <w:rsid w:val="007113A1"/>
    <w:rsid w:val="00712CBA"/>
    <w:rsid w:val="0071471C"/>
    <w:rsid w:val="00715D8C"/>
    <w:rsid w:val="00715DFA"/>
    <w:rsid w:val="0072046C"/>
    <w:rsid w:val="0072217D"/>
    <w:rsid w:val="0072388B"/>
    <w:rsid w:val="007238A0"/>
    <w:rsid w:val="00723A1A"/>
    <w:rsid w:val="007251A3"/>
    <w:rsid w:val="00725875"/>
    <w:rsid w:val="0072613A"/>
    <w:rsid w:val="00727630"/>
    <w:rsid w:val="00730DFE"/>
    <w:rsid w:val="0073213E"/>
    <w:rsid w:val="0073342A"/>
    <w:rsid w:val="00734269"/>
    <w:rsid w:val="00734F93"/>
    <w:rsid w:val="00736A40"/>
    <w:rsid w:val="00737345"/>
    <w:rsid w:val="00737516"/>
    <w:rsid w:val="00740087"/>
    <w:rsid w:val="0074077F"/>
    <w:rsid w:val="00740A7F"/>
    <w:rsid w:val="00740C3D"/>
    <w:rsid w:val="007418B4"/>
    <w:rsid w:val="00742337"/>
    <w:rsid w:val="00746575"/>
    <w:rsid w:val="00750FF3"/>
    <w:rsid w:val="0075237A"/>
    <w:rsid w:val="00752777"/>
    <w:rsid w:val="00755AC9"/>
    <w:rsid w:val="007570A5"/>
    <w:rsid w:val="00760FEA"/>
    <w:rsid w:val="00763CB0"/>
    <w:rsid w:val="0076406B"/>
    <w:rsid w:val="00764B40"/>
    <w:rsid w:val="00764D85"/>
    <w:rsid w:val="00765746"/>
    <w:rsid w:val="007657F9"/>
    <w:rsid w:val="00765D2E"/>
    <w:rsid w:val="007660B0"/>
    <w:rsid w:val="00766241"/>
    <w:rsid w:val="00766D81"/>
    <w:rsid w:val="00767CEC"/>
    <w:rsid w:val="00770459"/>
    <w:rsid w:val="00771DB5"/>
    <w:rsid w:val="0077312F"/>
    <w:rsid w:val="00776E6E"/>
    <w:rsid w:val="007776CD"/>
    <w:rsid w:val="00781DAE"/>
    <w:rsid w:val="007821FF"/>
    <w:rsid w:val="00782B7C"/>
    <w:rsid w:val="00783F64"/>
    <w:rsid w:val="00785053"/>
    <w:rsid w:val="00785ABD"/>
    <w:rsid w:val="007873E5"/>
    <w:rsid w:val="00790905"/>
    <w:rsid w:val="007909E2"/>
    <w:rsid w:val="007925BA"/>
    <w:rsid w:val="00793111"/>
    <w:rsid w:val="00796B1F"/>
    <w:rsid w:val="0079799C"/>
    <w:rsid w:val="007A11DD"/>
    <w:rsid w:val="007A1256"/>
    <w:rsid w:val="007A3451"/>
    <w:rsid w:val="007A5569"/>
    <w:rsid w:val="007A5E8E"/>
    <w:rsid w:val="007A6815"/>
    <w:rsid w:val="007A7FB0"/>
    <w:rsid w:val="007B074B"/>
    <w:rsid w:val="007B0A34"/>
    <w:rsid w:val="007B110B"/>
    <w:rsid w:val="007B4039"/>
    <w:rsid w:val="007B4F8C"/>
    <w:rsid w:val="007B526B"/>
    <w:rsid w:val="007B5B3B"/>
    <w:rsid w:val="007B662C"/>
    <w:rsid w:val="007B6988"/>
    <w:rsid w:val="007C0635"/>
    <w:rsid w:val="007C1A17"/>
    <w:rsid w:val="007C26F2"/>
    <w:rsid w:val="007C2F96"/>
    <w:rsid w:val="007C33AB"/>
    <w:rsid w:val="007C4696"/>
    <w:rsid w:val="007C4990"/>
    <w:rsid w:val="007C4BB9"/>
    <w:rsid w:val="007C6727"/>
    <w:rsid w:val="007C6889"/>
    <w:rsid w:val="007C77A2"/>
    <w:rsid w:val="007D00FD"/>
    <w:rsid w:val="007D01E2"/>
    <w:rsid w:val="007D24F4"/>
    <w:rsid w:val="007D2CFE"/>
    <w:rsid w:val="007D6BCC"/>
    <w:rsid w:val="007E0633"/>
    <w:rsid w:val="007E0B38"/>
    <w:rsid w:val="007E0C73"/>
    <w:rsid w:val="007E2666"/>
    <w:rsid w:val="007E4363"/>
    <w:rsid w:val="007E4FEE"/>
    <w:rsid w:val="007E68EF"/>
    <w:rsid w:val="007E6ED8"/>
    <w:rsid w:val="007E7A2A"/>
    <w:rsid w:val="007F22BD"/>
    <w:rsid w:val="007F26AB"/>
    <w:rsid w:val="007F32AA"/>
    <w:rsid w:val="007F4510"/>
    <w:rsid w:val="007F49D7"/>
    <w:rsid w:val="007F699E"/>
    <w:rsid w:val="007F749E"/>
    <w:rsid w:val="007F794D"/>
    <w:rsid w:val="00800823"/>
    <w:rsid w:val="00800AB5"/>
    <w:rsid w:val="00800D1A"/>
    <w:rsid w:val="008023E5"/>
    <w:rsid w:val="00803FDF"/>
    <w:rsid w:val="00805911"/>
    <w:rsid w:val="008101BF"/>
    <w:rsid w:val="00811A09"/>
    <w:rsid w:val="00813CB0"/>
    <w:rsid w:val="0081438E"/>
    <w:rsid w:val="00814419"/>
    <w:rsid w:val="00815454"/>
    <w:rsid w:val="00815E92"/>
    <w:rsid w:val="008164F8"/>
    <w:rsid w:val="00816AA2"/>
    <w:rsid w:val="00816E9A"/>
    <w:rsid w:val="0081765B"/>
    <w:rsid w:val="008205D4"/>
    <w:rsid w:val="00820605"/>
    <w:rsid w:val="008212A3"/>
    <w:rsid w:val="00821467"/>
    <w:rsid w:val="00822A57"/>
    <w:rsid w:val="00822A8A"/>
    <w:rsid w:val="00822ABE"/>
    <w:rsid w:val="00823334"/>
    <w:rsid w:val="00823F2A"/>
    <w:rsid w:val="00826206"/>
    <w:rsid w:val="00831427"/>
    <w:rsid w:val="00832746"/>
    <w:rsid w:val="00833240"/>
    <w:rsid w:val="00833DFA"/>
    <w:rsid w:val="008341D6"/>
    <w:rsid w:val="00834AD6"/>
    <w:rsid w:val="00834FF7"/>
    <w:rsid w:val="00835155"/>
    <w:rsid w:val="0084031D"/>
    <w:rsid w:val="00840770"/>
    <w:rsid w:val="00841CF2"/>
    <w:rsid w:val="00841D61"/>
    <w:rsid w:val="00842842"/>
    <w:rsid w:val="00842FA8"/>
    <w:rsid w:val="00843E1F"/>
    <w:rsid w:val="00844D8E"/>
    <w:rsid w:val="00845946"/>
    <w:rsid w:val="00846AB3"/>
    <w:rsid w:val="00847A23"/>
    <w:rsid w:val="00847AF2"/>
    <w:rsid w:val="00851F0F"/>
    <w:rsid w:val="00853356"/>
    <w:rsid w:val="008536AF"/>
    <w:rsid w:val="008536D7"/>
    <w:rsid w:val="00854B19"/>
    <w:rsid w:val="00855045"/>
    <w:rsid w:val="0085543B"/>
    <w:rsid w:val="00857158"/>
    <w:rsid w:val="0085730E"/>
    <w:rsid w:val="008574DC"/>
    <w:rsid w:val="00860EF5"/>
    <w:rsid w:val="0086547D"/>
    <w:rsid w:val="0086630D"/>
    <w:rsid w:val="00866904"/>
    <w:rsid w:val="00871F4F"/>
    <w:rsid w:val="00874FCC"/>
    <w:rsid w:val="0087792A"/>
    <w:rsid w:val="00877E7C"/>
    <w:rsid w:val="00881A29"/>
    <w:rsid w:val="00883708"/>
    <w:rsid w:val="0088497B"/>
    <w:rsid w:val="00885575"/>
    <w:rsid w:val="00885FEC"/>
    <w:rsid w:val="00887259"/>
    <w:rsid w:val="00887810"/>
    <w:rsid w:val="00890A95"/>
    <w:rsid w:val="008919EA"/>
    <w:rsid w:val="00891C0C"/>
    <w:rsid w:val="00892393"/>
    <w:rsid w:val="00892B6F"/>
    <w:rsid w:val="008932FA"/>
    <w:rsid w:val="00897D4C"/>
    <w:rsid w:val="008A1775"/>
    <w:rsid w:val="008A6A2C"/>
    <w:rsid w:val="008A7092"/>
    <w:rsid w:val="008A7275"/>
    <w:rsid w:val="008B044F"/>
    <w:rsid w:val="008B0820"/>
    <w:rsid w:val="008B1072"/>
    <w:rsid w:val="008B1F2A"/>
    <w:rsid w:val="008B22FE"/>
    <w:rsid w:val="008B240D"/>
    <w:rsid w:val="008B2E3A"/>
    <w:rsid w:val="008B36F9"/>
    <w:rsid w:val="008B3B48"/>
    <w:rsid w:val="008B54D6"/>
    <w:rsid w:val="008B6219"/>
    <w:rsid w:val="008B64BA"/>
    <w:rsid w:val="008B74F7"/>
    <w:rsid w:val="008B7949"/>
    <w:rsid w:val="008C206D"/>
    <w:rsid w:val="008C4F29"/>
    <w:rsid w:val="008C5319"/>
    <w:rsid w:val="008C5DFB"/>
    <w:rsid w:val="008C6237"/>
    <w:rsid w:val="008C7E72"/>
    <w:rsid w:val="008D1EAE"/>
    <w:rsid w:val="008D276D"/>
    <w:rsid w:val="008D31CC"/>
    <w:rsid w:val="008D4799"/>
    <w:rsid w:val="008D4826"/>
    <w:rsid w:val="008D6904"/>
    <w:rsid w:val="008E00F1"/>
    <w:rsid w:val="008E38EA"/>
    <w:rsid w:val="008E644C"/>
    <w:rsid w:val="008E79FD"/>
    <w:rsid w:val="008F044B"/>
    <w:rsid w:val="008F19B6"/>
    <w:rsid w:val="008F1B2E"/>
    <w:rsid w:val="008F23CF"/>
    <w:rsid w:val="008F3E73"/>
    <w:rsid w:val="008F4C26"/>
    <w:rsid w:val="008F62F3"/>
    <w:rsid w:val="008F65A3"/>
    <w:rsid w:val="008F687B"/>
    <w:rsid w:val="008F6D5A"/>
    <w:rsid w:val="008F7996"/>
    <w:rsid w:val="0090059C"/>
    <w:rsid w:val="009017EA"/>
    <w:rsid w:val="00901B18"/>
    <w:rsid w:val="00904A36"/>
    <w:rsid w:val="009067FE"/>
    <w:rsid w:val="0090703C"/>
    <w:rsid w:val="009078CB"/>
    <w:rsid w:val="00907CFB"/>
    <w:rsid w:val="0091196B"/>
    <w:rsid w:val="00911E83"/>
    <w:rsid w:val="009134FC"/>
    <w:rsid w:val="00916208"/>
    <w:rsid w:val="00917AF4"/>
    <w:rsid w:val="00920076"/>
    <w:rsid w:val="00921A39"/>
    <w:rsid w:val="0092338B"/>
    <w:rsid w:val="00924A3C"/>
    <w:rsid w:val="0092549E"/>
    <w:rsid w:val="009259C3"/>
    <w:rsid w:val="00930033"/>
    <w:rsid w:val="00930318"/>
    <w:rsid w:val="009315D2"/>
    <w:rsid w:val="00932624"/>
    <w:rsid w:val="0093493F"/>
    <w:rsid w:val="00935E16"/>
    <w:rsid w:val="0093601C"/>
    <w:rsid w:val="00936717"/>
    <w:rsid w:val="0094022B"/>
    <w:rsid w:val="00941378"/>
    <w:rsid w:val="00941EC7"/>
    <w:rsid w:val="0094529A"/>
    <w:rsid w:val="00946CE6"/>
    <w:rsid w:val="009507CA"/>
    <w:rsid w:val="009514FE"/>
    <w:rsid w:val="00951709"/>
    <w:rsid w:val="00951742"/>
    <w:rsid w:val="0095259E"/>
    <w:rsid w:val="00952E3A"/>
    <w:rsid w:val="00953AD4"/>
    <w:rsid w:val="00953B0E"/>
    <w:rsid w:val="009637F5"/>
    <w:rsid w:val="009648AA"/>
    <w:rsid w:val="00965CF2"/>
    <w:rsid w:val="00966045"/>
    <w:rsid w:val="0097065D"/>
    <w:rsid w:val="009714D2"/>
    <w:rsid w:val="0097298E"/>
    <w:rsid w:val="00974D14"/>
    <w:rsid w:val="0097502B"/>
    <w:rsid w:val="00976EE3"/>
    <w:rsid w:val="0097716B"/>
    <w:rsid w:val="00977522"/>
    <w:rsid w:val="009806DB"/>
    <w:rsid w:val="00980838"/>
    <w:rsid w:val="009808A1"/>
    <w:rsid w:val="0098422D"/>
    <w:rsid w:val="00986575"/>
    <w:rsid w:val="00986BEA"/>
    <w:rsid w:val="0099026E"/>
    <w:rsid w:val="009928CA"/>
    <w:rsid w:val="00993D0E"/>
    <w:rsid w:val="00994288"/>
    <w:rsid w:val="0099550D"/>
    <w:rsid w:val="00995727"/>
    <w:rsid w:val="00996591"/>
    <w:rsid w:val="009A0742"/>
    <w:rsid w:val="009A1662"/>
    <w:rsid w:val="009A434D"/>
    <w:rsid w:val="009A5B48"/>
    <w:rsid w:val="009A5DF4"/>
    <w:rsid w:val="009A66E9"/>
    <w:rsid w:val="009A6D3A"/>
    <w:rsid w:val="009A7C3B"/>
    <w:rsid w:val="009B2CD4"/>
    <w:rsid w:val="009B3DC3"/>
    <w:rsid w:val="009B5968"/>
    <w:rsid w:val="009B5E6A"/>
    <w:rsid w:val="009B637E"/>
    <w:rsid w:val="009B7FF9"/>
    <w:rsid w:val="009C0C68"/>
    <w:rsid w:val="009C13A2"/>
    <w:rsid w:val="009C14B7"/>
    <w:rsid w:val="009C21D2"/>
    <w:rsid w:val="009C22AE"/>
    <w:rsid w:val="009C4EF5"/>
    <w:rsid w:val="009C5A07"/>
    <w:rsid w:val="009C6BE7"/>
    <w:rsid w:val="009D0180"/>
    <w:rsid w:val="009D19B8"/>
    <w:rsid w:val="009D1A07"/>
    <w:rsid w:val="009D2E1D"/>
    <w:rsid w:val="009D2EAB"/>
    <w:rsid w:val="009D3D2B"/>
    <w:rsid w:val="009D5629"/>
    <w:rsid w:val="009D717E"/>
    <w:rsid w:val="009E1309"/>
    <w:rsid w:val="009E34B0"/>
    <w:rsid w:val="009E525A"/>
    <w:rsid w:val="009E6061"/>
    <w:rsid w:val="009F003E"/>
    <w:rsid w:val="009F1536"/>
    <w:rsid w:val="009F1669"/>
    <w:rsid w:val="009F3C73"/>
    <w:rsid w:val="00A01EB6"/>
    <w:rsid w:val="00A04AF8"/>
    <w:rsid w:val="00A05AC5"/>
    <w:rsid w:val="00A05FBC"/>
    <w:rsid w:val="00A0677F"/>
    <w:rsid w:val="00A06A89"/>
    <w:rsid w:val="00A06F27"/>
    <w:rsid w:val="00A10603"/>
    <w:rsid w:val="00A14DA6"/>
    <w:rsid w:val="00A164F4"/>
    <w:rsid w:val="00A17C07"/>
    <w:rsid w:val="00A21228"/>
    <w:rsid w:val="00A2308F"/>
    <w:rsid w:val="00A27153"/>
    <w:rsid w:val="00A2733A"/>
    <w:rsid w:val="00A303B8"/>
    <w:rsid w:val="00A309BD"/>
    <w:rsid w:val="00A31D1D"/>
    <w:rsid w:val="00A3224D"/>
    <w:rsid w:val="00A32996"/>
    <w:rsid w:val="00A32DFB"/>
    <w:rsid w:val="00A331E7"/>
    <w:rsid w:val="00A33301"/>
    <w:rsid w:val="00A34D7E"/>
    <w:rsid w:val="00A34DC1"/>
    <w:rsid w:val="00A35714"/>
    <w:rsid w:val="00A3572A"/>
    <w:rsid w:val="00A3573D"/>
    <w:rsid w:val="00A3632C"/>
    <w:rsid w:val="00A37FEC"/>
    <w:rsid w:val="00A40B9C"/>
    <w:rsid w:val="00A43F8A"/>
    <w:rsid w:val="00A4454C"/>
    <w:rsid w:val="00A4564A"/>
    <w:rsid w:val="00A47249"/>
    <w:rsid w:val="00A50559"/>
    <w:rsid w:val="00A511DD"/>
    <w:rsid w:val="00A55AD7"/>
    <w:rsid w:val="00A55CA8"/>
    <w:rsid w:val="00A56343"/>
    <w:rsid w:val="00A57223"/>
    <w:rsid w:val="00A5729C"/>
    <w:rsid w:val="00A576C7"/>
    <w:rsid w:val="00A577B9"/>
    <w:rsid w:val="00A600E3"/>
    <w:rsid w:val="00A60D43"/>
    <w:rsid w:val="00A6349C"/>
    <w:rsid w:val="00A63DDE"/>
    <w:rsid w:val="00A653B1"/>
    <w:rsid w:val="00A658DD"/>
    <w:rsid w:val="00A700AC"/>
    <w:rsid w:val="00A720BA"/>
    <w:rsid w:val="00A73FF1"/>
    <w:rsid w:val="00A74290"/>
    <w:rsid w:val="00A74EF5"/>
    <w:rsid w:val="00A76156"/>
    <w:rsid w:val="00A76B84"/>
    <w:rsid w:val="00A81AC0"/>
    <w:rsid w:val="00A8243B"/>
    <w:rsid w:val="00A842C2"/>
    <w:rsid w:val="00A84F5D"/>
    <w:rsid w:val="00A907E0"/>
    <w:rsid w:val="00A90926"/>
    <w:rsid w:val="00A96215"/>
    <w:rsid w:val="00A96451"/>
    <w:rsid w:val="00A9720B"/>
    <w:rsid w:val="00AA0111"/>
    <w:rsid w:val="00AA056D"/>
    <w:rsid w:val="00AA0666"/>
    <w:rsid w:val="00AA0A08"/>
    <w:rsid w:val="00AA0B76"/>
    <w:rsid w:val="00AA0E8F"/>
    <w:rsid w:val="00AA21C5"/>
    <w:rsid w:val="00AA220F"/>
    <w:rsid w:val="00AA3F20"/>
    <w:rsid w:val="00AA5A4B"/>
    <w:rsid w:val="00AA619F"/>
    <w:rsid w:val="00AA72FA"/>
    <w:rsid w:val="00AB0247"/>
    <w:rsid w:val="00AB0B4D"/>
    <w:rsid w:val="00AB0BF4"/>
    <w:rsid w:val="00AB1002"/>
    <w:rsid w:val="00AB21B8"/>
    <w:rsid w:val="00AB2B5E"/>
    <w:rsid w:val="00AB3B82"/>
    <w:rsid w:val="00AB4BB1"/>
    <w:rsid w:val="00AB57CE"/>
    <w:rsid w:val="00AB665A"/>
    <w:rsid w:val="00AB6D68"/>
    <w:rsid w:val="00AC06EE"/>
    <w:rsid w:val="00AC0EE2"/>
    <w:rsid w:val="00AC3341"/>
    <w:rsid w:val="00AC3FEC"/>
    <w:rsid w:val="00AC4F08"/>
    <w:rsid w:val="00AC5BDA"/>
    <w:rsid w:val="00AD2588"/>
    <w:rsid w:val="00AD3622"/>
    <w:rsid w:val="00AD4163"/>
    <w:rsid w:val="00AD4C3F"/>
    <w:rsid w:val="00AD5799"/>
    <w:rsid w:val="00AE092A"/>
    <w:rsid w:val="00AE0FE0"/>
    <w:rsid w:val="00AE21B0"/>
    <w:rsid w:val="00AE2931"/>
    <w:rsid w:val="00AE441E"/>
    <w:rsid w:val="00AE5416"/>
    <w:rsid w:val="00AE5485"/>
    <w:rsid w:val="00AE5519"/>
    <w:rsid w:val="00AE6A22"/>
    <w:rsid w:val="00AE7557"/>
    <w:rsid w:val="00AF1F3D"/>
    <w:rsid w:val="00AF23D7"/>
    <w:rsid w:val="00AF47EA"/>
    <w:rsid w:val="00AF6754"/>
    <w:rsid w:val="00AF79D0"/>
    <w:rsid w:val="00B00BA5"/>
    <w:rsid w:val="00B0136C"/>
    <w:rsid w:val="00B0226E"/>
    <w:rsid w:val="00B0294D"/>
    <w:rsid w:val="00B029A6"/>
    <w:rsid w:val="00B02FD7"/>
    <w:rsid w:val="00B04880"/>
    <w:rsid w:val="00B055CC"/>
    <w:rsid w:val="00B06FC1"/>
    <w:rsid w:val="00B0717A"/>
    <w:rsid w:val="00B108CC"/>
    <w:rsid w:val="00B10C1A"/>
    <w:rsid w:val="00B11582"/>
    <w:rsid w:val="00B137C3"/>
    <w:rsid w:val="00B15953"/>
    <w:rsid w:val="00B16BB2"/>
    <w:rsid w:val="00B17F40"/>
    <w:rsid w:val="00B21932"/>
    <w:rsid w:val="00B243E6"/>
    <w:rsid w:val="00B24F5C"/>
    <w:rsid w:val="00B25149"/>
    <w:rsid w:val="00B258CE"/>
    <w:rsid w:val="00B264E1"/>
    <w:rsid w:val="00B2652D"/>
    <w:rsid w:val="00B26885"/>
    <w:rsid w:val="00B2719F"/>
    <w:rsid w:val="00B30740"/>
    <w:rsid w:val="00B31E4D"/>
    <w:rsid w:val="00B3263A"/>
    <w:rsid w:val="00B34D56"/>
    <w:rsid w:val="00B36C10"/>
    <w:rsid w:val="00B37887"/>
    <w:rsid w:val="00B40E33"/>
    <w:rsid w:val="00B44775"/>
    <w:rsid w:val="00B4639A"/>
    <w:rsid w:val="00B46512"/>
    <w:rsid w:val="00B50F36"/>
    <w:rsid w:val="00B51B6C"/>
    <w:rsid w:val="00B53AB6"/>
    <w:rsid w:val="00B55A00"/>
    <w:rsid w:val="00B57473"/>
    <w:rsid w:val="00B5777E"/>
    <w:rsid w:val="00B621E4"/>
    <w:rsid w:val="00B63D7D"/>
    <w:rsid w:val="00B64E47"/>
    <w:rsid w:val="00B672F4"/>
    <w:rsid w:val="00B67319"/>
    <w:rsid w:val="00B73968"/>
    <w:rsid w:val="00B7432A"/>
    <w:rsid w:val="00B74455"/>
    <w:rsid w:val="00B75724"/>
    <w:rsid w:val="00B75C15"/>
    <w:rsid w:val="00B7610F"/>
    <w:rsid w:val="00B77EA0"/>
    <w:rsid w:val="00B807A7"/>
    <w:rsid w:val="00B80F35"/>
    <w:rsid w:val="00B81161"/>
    <w:rsid w:val="00B818EA"/>
    <w:rsid w:val="00B83DD0"/>
    <w:rsid w:val="00B87A3E"/>
    <w:rsid w:val="00B9128C"/>
    <w:rsid w:val="00B91B27"/>
    <w:rsid w:val="00B9293F"/>
    <w:rsid w:val="00B92D3C"/>
    <w:rsid w:val="00B95125"/>
    <w:rsid w:val="00B95340"/>
    <w:rsid w:val="00B95786"/>
    <w:rsid w:val="00B960BA"/>
    <w:rsid w:val="00B964EB"/>
    <w:rsid w:val="00B974C7"/>
    <w:rsid w:val="00BA0024"/>
    <w:rsid w:val="00BA2897"/>
    <w:rsid w:val="00BA3321"/>
    <w:rsid w:val="00BA4915"/>
    <w:rsid w:val="00BB0044"/>
    <w:rsid w:val="00BB03A7"/>
    <w:rsid w:val="00BB1B28"/>
    <w:rsid w:val="00BB78F0"/>
    <w:rsid w:val="00BC3494"/>
    <w:rsid w:val="00BC4508"/>
    <w:rsid w:val="00BC46F9"/>
    <w:rsid w:val="00BC49C3"/>
    <w:rsid w:val="00BC5E80"/>
    <w:rsid w:val="00BC6823"/>
    <w:rsid w:val="00BC6EAE"/>
    <w:rsid w:val="00BC6ED0"/>
    <w:rsid w:val="00BC7513"/>
    <w:rsid w:val="00BC7911"/>
    <w:rsid w:val="00BD3867"/>
    <w:rsid w:val="00BD386A"/>
    <w:rsid w:val="00BD6788"/>
    <w:rsid w:val="00BD737B"/>
    <w:rsid w:val="00BD7886"/>
    <w:rsid w:val="00BE1347"/>
    <w:rsid w:val="00BE1738"/>
    <w:rsid w:val="00BE4987"/>
    <w:rsid w:val="00BE5A67"/>
    <w:rsid w:val="00BF11D6"/>
    <w:rsid w:val="00BF2A9C"/>
    <w:rsid w:val="00C033FF"/>
    <w:rsid w:val="00C037DA"/>
    <w:rsid w:val="00C03D2D"/>
    <w:rsid w:val="00C0418D"/>
    <w:rsid w:val="00C04B84"/>
    <w:rsid w:val="00C06E6C"/>
    <w:rsid w:val="00C078CB"/>
    <w:rsid w:val="00C1047D"/>
    <w:rsid w:val="00C1268F"/>
    <w:rsid w:val="00C12921"/>
    <w:rsid w:val="00C13409"/>
    <w:rsid w:val="00C136CE"/>
    <w:rsid w:val="00C14684"/>
    <w:rsid w:val="00C14693"/>
    <w:rsid w:val="00C149FD"/>
    <w:rsid w:val="00C14C63"/>
    <w:rsid w:val="00C16014"/>
    <w:rsid w:val="00C16824"/>
    <w:rsid w:val="00C16AAD"/>
    <w:rsid w:val="00C16BD7"/>
    <w:rsid w:val="00C171EF"/>
    <w:rsid w:val="00C2151E"/>
    <w:rsid w:val="00C21B4A"/>
    <w:rsid w:val="00C21DD9"/>
    <w:rsid w:val="00C21E70"/>
    <w:rsid w:val="00C22890"/>
    <w:rsid w:val="00C23FAE"/>
    <w:rsid w:val="00C24B63"/>
    <w:rsid w:val="00C25640"/>
    <w:rsid w:val="00C265B7"/>
    <w:rsid w:val="00C275A0"/>
    <w:rsid w:val="00C300E2"/>
    <w:rsid w:val="00C300EF"/>
    <w:rsid w:val="00C30B4C"/>
    <w:rsid w:val="00C3343F"/>
    <w:rsid w:val="00C34219"/>
    <w:rsid w:val="00C343EF"/>
    <w:rsid w:val="00C3440B"/>
    <w:rsid w:val="00C366A0"/>
    <w:rsid w:val="00C36F8C"/>
    <w:rsid w:val="00C42113"/>
    <w:rsid w:val="00C42852"/>
    <w:rsid w:val="00C44038"/>
    <w:rsid w:val="00C44A96"/>
    <w:rsid w:val="00C46BF9"/>
    <w:rsid w:val="00C501F8"/>
    <w:rsid w:val="00C50B99"/>
    <w:rsid w:val="00C5245C"/>
    <w:rsid w:val="00C526B6"/>
    <w:rsid w:val="00C52D8B"/>
    <w:rsid w:val="00C55A23"/>
    <w:rsid w:val="00C57D84"/>
    <w:rsid w:val="00C6041C"/>
    <w:rsid w:val="00C61F4E"/>
    <w:rsid w:val="00C627A8"/>
    <w:rsid w:val="00C62E22"/>
    <w:rsid w:val="00C6579F"/>
    <w:rsid w:val="00C66777"/>
    <w:rsid w:val="00C70070"/>
    <w:rsid w:val="00C72B8B"/>
    <w:rsid w:val="00C73E8F"/>
    <w:rsid w:val="00C7620A"/>
    <w:rsid w:val="00C809A6"/>
    <w:rsid w:val="00C80C59"/>
    <w:rsid w:val="00C81283"/>
    <w:rsid w:val="00C813ED"/>
    <w:rsid w:val="00C82B22"/>
    <w:rsid w:val="00C83855"/>
    <w:rsid w:val="00C8560C"/>
    <w:rsid w:val="00C87354"/>
    <w:rsid w:val="00C873C2"/>
    <w:rsid w:val="00C876EF"/>
    <w:rsid w:val="00C877E2"/>
    <w:rsid w:val="00C914A6"/>
    <w:rsid w:val="00C93203"/>
    <w:rsid w:val="00C94847"/>
    <w:rsid w:val="00C94CA3"/>
    <w:rsid w:val="00C94F41"/>
    <w:rsid w:val="00C95701"/>
    <w:rsid w:val="00C96EC9"/>
    <w:rsid w:val="00CA05AA"/>
    <w:rsid w:val="00CA0A70"/>
    <w:rsid w:val="00CA1DF4"/>
    <w:rsid w:val="00CA2834"/>
    <w:rsid w:val="00CA40AB"/>
    <w:rsid w:val="00CA4903"/>
    <w:rsid w:val="00CA501C"/>
    <w:rsid w:val="00CA7E93"/>
    <w:rsid w:val="00CB0CD6"/>
    <w:rsid w:val="00CB31E3"/>
    <w:rsid w:val="00CB56C8"/>
    <w:rsid w:val="00CB79E0"/>
    <w:rsid w:val="00CB7AA3"/>
    <w:rsid w:val="00CB7E38"/>
    <w:rsid w:val="00CC2397"/>
    <w:rsid w:val="00CC28F8"/>
    <w:rsid w:val="00CC4016"/>
    <w:rsid w:val="00CC4AE6"/>
    <w:rsid w:val="00CC4FF6"/>
    <w:rsid w:val="00CC501D"/>
    <w:rsid w:val="00CC60A9"/>
    <w:rsid w:val="00CC6C2C"/>
    <w:rsid w:val="00CC6D02"/>
    <w:rsid w:val="00CC71C7"/>
    <w:rsid w:val="00CC7DCF"/>
    <w:rsid w:val="00CD26EB"/>
    <w:rsid w:val="00CD27DF"/>
    <w:rsid w:val="00CD2CD5"/>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7C9"/>
    <w:rsid w:val="00CE505F"/>
    <w:rsid w:val="00CE719B"/>
    <w:rsid w:val="00CE7E2B"/>
    <w:rsid w:val="00CF047E"/>
    <w:rsid w:val="00CF0A96"/>
    <w:rsid w:val="00CF2225"/>
    <w:rsid w:val="00CF4EAF"/>
    <w:rsid w:val="00CF5A09"/>
    <w:rsid w:val="00CF63B2"/>
    <w:rsid w:val="00D01586"/>
    <w:rsid w:val="00D01AFD"/>
    <w:rsid w:val="00D02A9F"/>
    <w:rsid w:val="00D03412"/>
    <w:rsid w:val="00D039D9"/>
    <w:rsid w:val="00D044E5"/>
    <w:rsid w:val="00D0610D"/>
    <w:rsid w:val="00D06E0E"/>
    <w:rsid w:val="00D06FBD"/>
    <w:rsid w:val="00D06FD6"/>
    <w:rsid w:val="00D07988"/>
    <w:rsid w:val="00D1139B"/>
    <w:rsid w:val="00D12010"/>
    <w:rsid w:val="00D12646"/>
    <w:rsid w:val="00D154B1"/>
    <w:rsid w:val="00D17746"/>
    <w:rsid w:val="00D17D4E"/>
    <w:rsid w:val="00D20015"/>
    <w:rsid w:val="00D22923"/>
    <w:rsid w:val="00D24F12"/>
    <w:rsid w:val="00D27EE8"/>
    <w:rsid w:val="00D40839"/>
    <w:rsid w:val="00D410C3"/>
    <w:rsid w:val="00D41E40"/>
    <w:rsid w:val="00D428D2"/>
    <w:rsid w:val="00D43BB1"/>
    <w:rsid w:val="00D5068A"/>
    <w:rsid w:val="00D51F00"/>
    <w:rsid w:val="00D531F6"/>
    <w:rsid w:val="00D53B03"/>
    <w:rsid w:val="00D53FA0"/>
    <w:rsid w:val="00D5436C"/>
    <w:rsid w:val="00D5471F"/>
    <w:rsid w:val="00D54A63"/>
    <w:rsid w:val="00D56F52"/>
    <w:rsid w:val="00D57E7C"/>
    <w:rsid w:val="00D629AA"/>
    <w:rsid w:val="00D646BB"/>
    <w:rsid w:val="00D64848"/>
    <w:rsid w:val="00D660D6"/>
    <w:rsid w:val="00D677BF"/>
    <w:rsid w:val="00D70893"/>
    <w:rsid w:val="00D71CCD"/>
    <w:rsid w:val="00D71F80"/>
    <w:rsid w:val="00D73664"/>
    <w:rsid w:val="00D73B9A"/>
    <w:rsid w:val="00D75374"/>
    <w:rsid w:val="00D758E3"/>
    <w:rsid w:val="00D775BF"/>
    <w:rsid w:val="00D81C94"/>
    <w:rsid w:val="00D8287A"/>
    <w:rsid w:val="00D83BD4"/>
    <w:rsid w:val="00D843DB"/>
    <w:rsid w:val="00D87E6E"/>
    <w:rsid w:val="00D9042A"/>
    <w:rsid w:val="00D93006"/>
    <w:rsid w:val="00D94B18"/>
    <w:rsid w:val="00D955E8"/>
    <w:rsid w:val="00DA3026"/>
    <w:rsid w:val="00DA3E44"/>
    <w:rsid w:val="00DA5861"/>
    <w:rsid w:val="00DA5FA6"/>
    <w:rsid w:val="00DA60B5"/>
    <w:rsid w:val="00DA66CD"/>
    <w:rsid w:val="00DA6853"/>
    <w:rsid w:val="00DA7D00"/>
    <w:rsid w:val="00DB0162"/>
    <w:rsid w:val="00DB0B9F"/>
    <w:rsid w:val="00DB2DBC"/>
    <w:rsid w:val="00DB43B3"/>
    <w:rsid w:val="00DB4B0B"/>
    <w:rsid w:val="00DC0ABE"/>
    <w:rsid w:val="00DC1239"/>
    <w:rsid w:val="00DC2047"/>
    <w:rsid w:val="00DC399A"/>
    <w:rsid w:val="00DC48CB"/>
    <w:rsid w:val="00DC69B4"/>
    <w:rsid w:val="00DC6C93"/>
    <w:rsid w:val="00DC748D"/>
    <w:rsid w:val="00DD2196"/>
    <w:rsid w:val="00DD3B35"/>
    <w:rsid w:val="00DD4EA8"/>
    <w:rsid w:val="00DD5F71"/>
    <w:rsid w:val="00DD6FB7"/>
    <w:rsid w:val="00DE0DC3"/>
    <w:rsid w:val="00DE1631"/>
    <w:rsid w:val="00DE2D33"/>
    <w:rsid w:val="00DE4759"/>
    <w:rsid w:val="00DE4CB1"/>
    <w:rsid w:val="00DE5F8B"/>
    <w:rsid w:val="00DE6D1F"/>
    <w:rsid w:val="00DE712A"/>
    <w:rsid w:val="00DF00E5"/>
    <w:rsid w:val="00DF03F1"/>
    <w:rsid w:val="00DF3B64"/>
    <w:rsid w:val="00DF4042"/>
    <w:rsid w:val="00DF5041"/>
    <w:rsid w:val="00DF5B3F"/>
    <w:rsid w:val="00DF68A4"/>
    <w:rsid w:val="00E00802"/>
    <w:rsid w:val="00E01855"/>
    <w:rsid w:val="00E02D94"/>
    <w:rsid w:val="00E03A89"/>
    <w:rsid w:val="00E1114B"/>
    <w:rsid w:val="00E1196D"/>
    <w:rsid w:val="00E1380F"/>
    <w:rsid w:val="00E13CE4"/>
    <w:rsid w:val="00E14BEB"/>
    <w:rsid w:val="00E163E4"/>
    <w:rsid w:val="00E21AB3"/>
    <w:rsid w:val="00E21F1F"/>
    <w:rsid w:val="00E22E29"/>
    <w:rsid w:val="00E23978"/>
    <w:rsid w:val="00E239FD"/>
    <w:rsid w:val="00E258C1"/>
    <w:rsid w:val="00E26596"/>
    <w:rsid w:val="00E2737B"/>
    <w:rsid w:val="00E30C72"/>
    <w:rsid w:val="00E333FA"/>
    <w:rsid w:val="00E33695"/>
    <w:rsid w:val="00E34F28"/>
    <w:rsid w:val="00E36B54"/>
    <w:rsid w:val="00E374CA"/>
    <w:rsid w:val="00E41803"/>
    <w:rsid w:val="00E41B03"/>
    <w:rsid w:val="00E42BAB"/>
    <w:rsid w:val="00E42E25"/>
    <w:rsid w:val="00E44836"/>
    <w:rsid w:val="00E449BC"/>
    <w:rsid w:val="00E46F6F"/>
    <w:rsid w:val="00E504EB"/>
    <w:rsid w:val="00E5343B"/>
    <w:rsid w:val="00E53BC7"/>
    <w:rsid w:val="00E54B2B"/>
    <w:rsid w:val="00E56D94"/>
    <w:rsid w:val="00E56E06"/>
    <w:rsid w:val="00E57C3B"/>
    <w:rsid w:val="00E63B18"/>
    <w:rsid w:val="00E652AF"/>
    <w:rsid w:val="00E72BB6"/>
    <w:rsid w:val="00E72D98"/>
    <w:rsid w:val="00E73DEB"/>
    <w:rsid w:val="00E7474A"/>
    <w:rsid w:val="00E74A7A"/>
    <w:rsid w:val="00E77581"/>
    <w:rsid w:val="00E8104D"/>
    <w:rsid w:val="00E84910"/>
    <w:rsid w:val="00E9492E"/>
    <w:rsid w:val="00E957B3"/>
    <w:rsid w:val="00E95F95"/>
    <w:rsid w:val="00EA066F"/>
    <w:rsid w:val="00EA273F"/>
    <w:rsid w:val="00EA49D1"/>
    <w:rsid w:val="00EA6B9E"/>
    <w:rsid w:val="00EA6F6E"/>
    <w:rsid w:val="00EA7DA8"/>
    <w:rsid w:val="00EB0A26"/>
    <w:rsid w:val="00EB1AB1"/>
    <w:rsid w:val="00EB22FE"/>
    <w:rsid w:val="00EB28AA"/>
    <w:rsid w:val="00EB2F12"/>
    <w:rsid w:val="00EB34C6"/>
    <w:rsid w:val="00EB416E"/>
    <w:rsid w:val="00EB52F6"/>
    <w:rsid w:val="00EB5FC5"/>
    <w:rsid w:val="00EB662E"/>
    <w:rsid w:val="00EB6C95"/>
    <w:rsid w:val="00EC16B2"/>
    <w:rsid w:val="00EC2221"/>
    <w:rsid w:val="00EC294E"/>
    <w:rsid w:val="00EC3F1C"/>
    <w:rsid w:val="00EC78AF"/>
    <w:rsid w:val="00ED1BBB"/>
    <w:rsid w:val="00ED37EC"/>
    <w:rsid w:val="00ED4F7D"/>
    <w:rsid w:val="00ED5795"/>
    <w:rsid w:val="00ED5AC9"/>
    <w:rsid w:val="00ED5EB8"/>
    <w:rsid w:val="00EE01F4"/>
    <w:rsid w:val="00EE19B6"/>
    <w:rsid w:val="00EE2022"/>
    <w:rsid w:val="00EE2727"/>
    <w:rsid w:val="00EE3436"/>
    <w:rsid w:val="00EE554E"/>
    <w:rsid w:val="00EE5E3D"/>
    <w:rsid w:val="00EE6BA0"/>
    <w:rsid w:val="00EE6D9A"/>
    <w:rsid w:val="00EF068E"/>
    <w:rsid w:val="00EF1D29"/>
    <w:rsid w:val="00EF20E4"/>
    <w:rsid w:val="00EF2C8D"/>
    <w:rsid w:val="00EF38B1"/>
    <w:rsid w:val="00EF3B2D"/>
    <w:rsid w:val="00EF3C0B"/>
    <w:rsid w:val="00EF4B7E"/>
    <w:rsid w:val="00EF5397"/>
    <w:rsid w:val="00EF6EEC"/>
    <w:rsid w:val="00EF6F64"/>
    <w:rsid w:val="00EF793E"/>
    <w:rsid w:val="00F0375F"/>
    <w:rsid w:val="00F04367"/>
    <w:rsid w:val="00F06921"/>
    <w:rsid w:val="00F076AD"/>
    <w:rsid w:val="00F101FD"/>
    <w:rsid w:val="00F1064E"/>
    <w:rsid w:val="00F12030"/>
    <w:rsid w:val="00F12146"/>
    <w:rsid w:val="00F1236E"/>
    <w:rsid w:val="00F155D9"/>
    <w:rsid w:val="00F1640E"/>
    <w:rsid w:val="00F20151"/>
    <w:rsid w:val="00F2194D"/>
    <w:rsid w:val="00F22A9F"/>
    <w:rsid w:val="00F24A1D"/>
    <w:rsid w:val="00F257F0"/>
    <w:rsid w:val="00F263BF"/>
    <w:rsid w:val="00F26B7D"/>
    <w:rsid w:val="00F30904"/>
    <w:rsid w:val="00F310B9"/>
    <w:rsid w:val="00F3145B"/>
    <w:rsid w:val="00F31A8E"/>
    <w:rsid w:val="00F3283C"/>
    <w:rsid w:val="00F34004"/>
    <w:rsid w:val="00F35776"/>
    <w:rsid w:val="00F3623C"/>
    <w:rsid w:val="00F36D9E"/>
    <w:rsid w:val="00F40E66"/>
    <w:rsid w:val="00F40F7A"/>
    <w:rsid w:val="00F427CB"/>
    <w:rsid w:val="00F42D7A"/>
    <w:rsid w:val="00F42F15"/>
    <w:rsid w:val="00F4499C"/>
    <w:rsid w:val="00F44D5A"/>
    <w:rsid w:val="00F4535E"/>
    <w:rsid w:val="00F461CE"/>
    <w:rsid w:val="00F501E6"/>
    <w:rsid w:val="00F51ACB"/>
    <w:rsid w:val="00F51ECF"/>
    <w:rsid w:val="00F53CEC"/>
    <w:rsid w:val="00F53DB5"/>
    <w:rsid w:val="00F53DE0"/>
    <w:rsid w:val="00F5469D"/>
    <w:rsid w:val="00F55833"/>
    <w:rsid w:val="00F5626B"/>
    <w:rsid w:val="00F568C3"/>
    <w:rsid w:val="00F611D6"/>
    <w:rsid w:val="00F6228F"/>
    <w:rsid w:val="00F62D9E"/>
    <w:rsid w:val="00F64AD5"/>
    <w:rsid w:val="00F66FD1"/>
    <w:rsid w:val="00F70F4B"/>
    <w:rsid w:val="00F76138"/>
    <w:rsid w:val="00F80103"/>
    <w:rsid w:val="00F85975"/>
    <w:rsid w:val="00F87399"/>
    <w:rsid w:val="00F921B7"/>
    <w:rsid w:val="00F92372"/>
    <w:rsid w:val="00F92585"/>
    <w:rsid w:val="00F92D1F"/>
    <w:rsid w:val="00F9309D"/>
    <w:rsid w:val="00F93445"/>
    <w:rsid w:val="00F9448A"/>
    <w:rsid w:val="00F95807"/>
    <w:rsid w:val="00F96A35"/>
    <w:rsid w:val="00FA0113"/>
    <w:rsid w:val="00FA02E8"/>
    <w:rsid w:val="00FA0344"/>
    <w:rsid w:val="00FA0EFC"/>
    <w:rsid w:val="00FA1B5A"/>
    <w:rsid w:val="00FA253A"/>
    <w:rsid w:val="00FA340B"/>
    <w:rsid w:val="00FA35EE"/>
    <w:rsid w:val="00FA43EB"/>
    <w:rsid w:val="00FA69A3"/>
    <w:rsid w:val="00FB19C8"/>
    <w:rsid w:val="00FB24C8"/>
    <w:rsid w:val="00FB30E8"/>
    <w:rsid w:val="00FB3B8A"/>
    <w:rsid w:val="00FB531E"/>
    <w:rsid w:val="00FB5634"/>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E0561"/>
    <w:rsid w:val="00FE06BF"/>
    <w:rsid w:val="00FE08D1"/>
    <w:rsid w:val="00FE3AC6"/>
    <w:rsid w:val="00FE3D07"/>
    <w:rsid w:val="00FE60E7"/>
    <w:rsid w:val="00FE619A"/>
    <w:rsid w:val="00FE6DFE"/>
    <w:rsid w:val="00FF0060"/>
    <w:rsid w:val="00FF02C8"/>
    <w:rsid w:val="00FF0BD1"/>
    <w:rsid w:val="00FF197C"/>
    <w:rsid w:val="00FF1A38"/>
    <w:rsid w:val="00FF2B8D"/>
    <w:rsid w:val="00FF4165"/>
    <w:rsid w:val="00FF6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8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85543B"/>
    <w:pPr>
      <w:keepNext/>
      <w:keepLines/>
      <w:numPr>
        <w:ilvl w:val="1"/>
        <w:numId w:val="4"/>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85543B"/>
    <w:rPr>
      <w:rFonts w:eastAsiaTheme="majorEastAsia" w:cstheme="majorBidi"/>
      <w:b/>
      <w:bCs/>
      <w:color w:val="002060"/>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3D52-D89F-470F-BA1A-4CA8C28C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4447</TotalTime>
  <Pages>119</Pages>
  <Words>52856</Words>
  <Characters>317139</Characters>
  <Application>Microsoft Office Word</Application>
  <DocSecurity>0</DocSecurity>
  <Lines>2642</Lines>
  <Paragraphs>738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945</cp:revision>
  <cp:lastPrinted>2019-01-17T14:53:00Z</cp:lastPrinted>
  <dcterms:created xsi:type="dcterms:W3CDTF">2015-12-28T13:55:00Z</dcterms:created>
  <dcterms:modified xsi:type="dcterms:W3CDTF">2019-10-15T08:35:00Z</dcterms:modified>
</cp:coreProperties>
</file>