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E1C1F"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E1C1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E1C1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7E1C1F"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7E1C1F"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7E1C1F"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7E1C1F"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7E1C1F"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7E1C1F"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7E1C1F"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7E1C1F"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06A2A">
        <w:trPr>
          <w:trHeight w:val="567"/>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51158F">
              <w:rPr>
                <w:rFonts w:ascii="Bookman Old Style" w:hAnsi="Bookman Old Style"/>
                <w:sz w:val="16"/>
                <w:szCs w:val="16"/>
              </w:rPr>
              <w:t>oświadczenie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lastRenderedPageBreak/>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dokumenty </w:t>
            </w:r>
            <w:proofErr w:type="spellStart"/>
            <w:r w:rsidRPr="00B13479">
              <w:rPr>
                <w:rFonts w:ascii="Bookman Old Style" w:hAnsi="Bookman Old Style"/>
                <w:sz w:val="16"/>
                <w:szCs w:val="16"/>
              </w:rPr>
              <w:t>potw</w:t>
            </w:r>
            <w:proofErr w:type="spellEnd"/>
            <w:r w:rsidRPr="00B13479">
              <w:rPr>
                <w:rFonts w:ascii="Bookman Old Style" w:hAnsi="Bookman Old Style"/>
                <w:sz w:val="16"/>
                <w:szCs w:val="16"/>
              </w:rPr>
              <w:t>. postęp w procesie aktywizacji społecznej np.:</w:t>
            </w:r>
            <w:r w:rsidR="00276B81">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sidR="00276B81">
              <w:rPr>
                <w:rFonts w:ascii="Bookman Old Style" w:hAnsi="Bookman Old Style"/>
                <w:sz w:val="16"/>
                <w:szCs w:val="16"/>
              </w:rPr>
              <w:t xml:space="preserve"> </w:t>
            </w:r>
            <w:r w:rsidRPr="00B13479">
              <w:rPr>
                <w:rFonts w:ascii="Bookman Old Style" w:hAnsi="Bookman Old Style"/>
                <w:sz w:val="16"/>
                <w:szCs w:val="16"/>
              </w:rPr>
              <w:t>samodzielności potwierdzona m.in.</w:t>
            </w:r>
            <w:r w:rsidR="00276B81">
              <w:rPr>
                <w:rFonts w:ascii="Bookman Old Style" w:hAnsi="Bookman Old Style"/>
                <w:sz w:val="16"/>
                <w:szCs w:val="16"/>
              </w:rPr>
              <w:t xml:space="preserve"> </w:t>
            </w:r>
            <w:r w:rsidRPr="00B13479">
              <w:rPr>
                <w:rFonts w:ascii="Bookman Old Style" w:hAnsi="Bookman Old Style"/>
                <w:sz w:val="16"/>
                <w:szCs w:val="16"/>
              </w:rPr>
              <w:t xml:space="preserve">zaświadczeniami z różnych instytucji/zaświadczenie o podjęciu nauki;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o podjęciu/ukończeniu terapii</w:t>
            </w:r>
            <w:r w:rsidR="00276B81">
              <w:rPr>
                <w:rFonts w:ascii="Bookman Old Style" w:hAnsi="Bookman Old Style"/>
                <w:sz w:val="16"/>
                <w:szCs w:val="16"/>
              </w:rPr>
              <w:t xml:space="preserve"> </w:t>
            </w:r>
            <w:r w:rsidRPr="00B13479">
              <w:rPr>
                <w:rFonts w:ascii="Bookman Old Style" w:hAnsi="Bookman Old Style"/>
                <w:sz w:val="16"/>
                <w:szCs w:val="16"/>
              </w:rPr>
              <w:t xml:space="preserve">uzależnienia/,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xml:space="preserve">. o rozpoczęciu udziału w zajęciach w ramach </w:t>
            </w:r>
            <w:proofErr w:type="spellStart"/>
            <w:r w:rsidRPr="00B13479">
              <w:rPr>
                <w:rFonts w:ascii="Bookman Old Style" w:hAnsi="Bookman Old Style"/>
                <w:sz w:val="16"/>
                <w:szCs w:val="16"/>
              </w:rPr>
              <w:t>CIS,KIS</w:t>
            </w:r>
            <w:proofErr w:type="spellEnd"/>
            <w:r w:rsidRPr="00B13479">
              <w:rPr>
                <w:rFonts w:ascii="Bookman Old Style" w:hAnsi="Bookman Old Style"/>
                <w:sz w:val="16"/>
                <w:szCs w:val="16"/>
              </w:rPr>
              <w:t xml:space="preserve">/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w:t>
            </w:r>
            <w:r w:rsidR="00276B81">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FB311E">
              <w:rPr>
                <w:rFonts w:ascii="Bookman Old Style" w:hAnsi="Bookman Old Style"/>
                <w:sz w:val="16"/>
                <w:szCs w:val="16"/>
              </w:rPr>
              <w:t>pozyskanie wiedzy, dyplom, certyfikat, zaświadczenie.</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7E1C1F"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7E1C1F"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7E1C1F"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7E1C1F"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7E1C1F"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7E1C1F"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7E1C1F"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7E1C1F"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7E1C1F"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7E1C1F"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7E1C1F"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7E1C1F">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7E1C1F">
              <w:rPr>
                <w:rFonts w:ascii="Bookman Old Style" w:eastAsia="Times New Roman" w:hAnsi="Bookman Old Style" w:cs="Times New Roman"/>
                <w:color w:val="000000"/>
                <w:lang w:eastAsia="pl-PL"/>
              </w:rPr>
            </w:r>
            <w:r w:rsidR="007E1C1F">
              <w:rPr>
                <w:rFonts w:ascii="Bookman Old Style" w:eastAsia="Times New Roman" w:hAnsi="Bookman Old Style" w:cs="Times New Roman"/>
                <w:color w:val="000000"/>
                <w:lang w:eastAsia="pl-PL"/>
              </w:rPr>
              <w:fldChar w:fldCharType="separate"/>
            </w:r>
            <w:r w:rsidR="007E1C1F">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7E1C1F">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7E1C1F">
              <w:rPr>
                <w:rFonts w:ascii="Bookman Old Style" w:eastAsia="Times New Roman" w:hAnsi="Bookman Old Style" w:cs="Times New Roman"/>
                <w:color w:val="000000"/>
                <w:lang w:eastAsia="pl-PL"/>
              </w:rPr>
            </w:r>
            <w:r w:rsidR="007E1C1F">
              <w:rPr>
                <w:rFonts w:ascii="Bookman Old Style" w:eastAsia="Times New Roman" w:hAnsi="Bookman Old Style" w:cs="Times New Roman"/>
                <w:color w:val="000000"/>
                <w:lang w:eastAsia="pl-PL"/>
              </w:rPr>
              <w:fldChar w:fldCharType="separate"/>
            </w:r>
            <w:r w:rsidR="007E1C1F">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7E1C1F"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w:t>
            </w:r>
            <w:proofErr w:type="spellStart"/>
            <w:r w:rsidRPr="00D20FE8">
              <w:rPr>
                <w:i/>
                <w:sz w:val="18"/>
                <w:szCs w:val="18"/>
              </w:rPr>
              <w:t>Toruń</w:t>
            </w:r>
            <w:proofErr w:type="spellEnd"/>
            <w:r w:rsidRPr="00D20FE8">
              <w:rPr>
                <w:i/>
                <w:sz w:val="18"/>
                <w:szCs w:val="18"/>
              </w:rPr>
              <w:t>,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35841"/>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4688"/>
    <w:rsid w:val="002E4EC7"/>
    <w:rsid w:val="002E4FEE"/>
    <w:rsid w:val="002E5467"/>
    <w:rsid w:val="002E7AF6"/>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1C1F"/>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55B6"/>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D2DE-5EE3-4BC4-A5DB-3006EF7F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29</Pages>
  <Words>5196</Words>
  <Characters>31181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143</cp:revision>
  <cp:lastPrinted>2017-05-25T11:00:00Z</cp:lastPrinted>
  <dcterms:created xsi:type="dcterms:W3CDTF">2017-07-17T14:10:00Z</dcterms:created>
  <dcterms:modified xsi:type="dcterms:W3CDTF">2019-11-15T12:27:00Z</dcterms:modified>
</cp:coreProperties>
</file>