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pt;height:56.6pt" o:ole="" filled="t">
            <v:fill color2="black"/>
            <v:imagedata r:id="rId7" o:title=""/>
          </v:shape>
          <o:OLEObject Type="Embed" ProgID="PBrush" ShapeID="_x0000_i1025" DrawAspect="Content" ObjectID="_1634533640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1</w:t>
      </w:r>
      <w:r w:rsidR="00C81980">
        <w:rPr>
          <w:sz w:val="18"/>
          <w:szCs w:val="18"/>
        </w:rPr>
        <w:t>0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EE2CBB">
        <w:rPr>
          <w:sz w:val="18"/>
          <w:szCs w:val="18"/>
        </w:rPr>
        <w:t>4</w:t>
      </w:r>
      <w:r w:rsidRPr="004D0E69">
        <w:rPr>
          <w:sz w:val="18"/>
          <w:szCs w:val="18"/>
        </w:rPr>
        <w:t>/201</w:t>
      </w:r>
      <w:r w:rsidR="00EE2CBB">
        <w:rPr>
          <w:sz w:val="18"/>
          <w:szCs w:val="18"/>
        </w:rPr>
        <w:t>9</w:t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P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C27B5D" w:rsidRPr="005E4388" w:rsidRDefault="00C27B5D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2188"/>
        <w:gridCol w:w="1134"/>
        <w:gridCol w:w="1701"/>
        <w:gridCol w:w="2063"/>
        <w:gridCol w:w="1622"/>
      </w:tblGrid>
      <w:tr w:rsidR="00C27B5D" w:rsidRPr="005E4388" w:rsidTr="00B92A4E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27B5D" w:rsidRPr="005E4388" w:rsidTr="00C81980">
        <w:trPr>
          <w:trHeight w:val="66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C81980" w:rsidP="00B92A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3: Poprawa atrakcyjności turystycznej i osiedleńczej obszaru LGD „Dolina Drwęcy”</w:t>
            </w:r>
          </w:p>
        </w:tc>
      </w:tr>
      <w:tr w:rsidR="00C27B5D" w:rsidRPr="005E4388" w:rsidTr="009F01C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B92A4E" w:rsidP="009F01C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="00C27B5D"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C27B5D" w:rsidRPr="005E4388" w:rsidTr="00C81980">
        <w:trPr>
          <w:trHeight w:val="63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9F01CF" w:rsidRDefault="00C81980" w:rsidP="006079E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079E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Wzmocnienie </w:t>
            </w:r>
            <w:r w:rsidR="00D00B38">
              <w:rPr>
                <w:rFonts w:ascii="Times New Roman" w:hAnsi="Times New Roman"/>
              </w:rPr>
              <w:t xml:space="preserve">spójności lokalnej </w:t>
            </w:r>
            <w:r w:rsidR="000A0A11">
              <w:rPr>
                <w:rFonts w:ascii="Times New Roman" w:hAnsi="Times New Roman"/>
              </w:rPr>
              <w:t>poprzez rewitalizację</w:t>
            </w:r>
            <w:r w:rsidR="00D00B38">
              <w:rPr>
                <w:rFonts w:ascii="Times New Roman" w:hAnsi="Times New Roman"/>
              </w:rPr>
              <w:t xml:space="preserve"> fizyczną obszaru LGD</w:t>
            </w:r>
          </w:p>
        </w:tc>
      </w:tr>
      <w:tr w:rsidR="00C27B5D" w:rsidRPr="005E4388" w:rsidTr="00B92A4E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27B5D" w:rsidRPr="005E4388" w:rsidTr="00B92A4E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C81980" w:rsidP="00607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079EF">
              <w:rPr>
                <w:rFonts w:ascii="Times New Roman" w:hAnsi="Times New Roman"/>
              </w:rPr>
              <w:t>2.1. Inwestycja</w:t>
            </w:r>
            <w:r>
              <w:rPr>
                <w:rFonts w:ascii="Times New Roman" w:hAnsi="Times New Roman"/>
              </w:rPr>
              <w:t xml:space="preserve"> w </w:t>
            </w:r>
            <w:r w:rsidR="006079EF">
              <w:rPr>
                <w:rFonts w:ascii="Times New Roman" w:hAnsi="Times New Roman"/>
              </w:rPr>
              <w:t>infrastrukturę drogową gwarantującą spój</w:t>
            </w:r>
            <w:r w:rsidR="006D4135">
              <w:rPr>
                <w:rFonts w:ascii="Times New Roman" w:hAnsi="Times New Roman"/>
              </w:rPr>
              <w:t>ność terytorialną w zakresie włą</w:t>
            </w:r>
            <w:r w:rsidR="006079EF">
              <w:rPr>
                <w:rFonts w:ascii="Times New Roman" w:hAnsi="Times New Roman"/>
              </w:rPr>
              <w:t>czenia społecznego</w:t>
            </w:r>
            <w:r w:rsidR="00E26BA8">
              <w:rPr>
                <w:rFonts w:ascii="Times New Roman" w:hAnsi="Times New Roman"/>
              </w:rPr>
              <w:t xml:space="preserve"> (EFRROW)</w:t>
            </w:r>
          </w:p>
        </w:tc>
      </w:tr>
      <w:tr w:rsidR="00C27B5D" w:rsidRPr="005E4388" w:rsidTr="00BB3945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B3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586C24" w:rsidRPr="005E4388" w:rsidTr="00D40567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 w:rsidR="00965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 w:rsidR="00965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586C24" w:rsidRPr="005E4388" w:rsidTr="006D4135">
        <w:trPr>
          <w:trHeight w:val="132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C24" w:rsidRPr="006D4135" w:rsidRDefault="00C81980" w:rsidP="006D4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Wskaźnik produktu: </w:t>
            </w:r>
            <w:r w:rsidR="006D4135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6D4135">
              <w:rPr>
                <w:rFonts w:ascii="Times New Roman" w:hAnsi="Times New Roman"/>
                <w:sz w:val="18"/>
                <w:szCs w:val="18"/>
              </w:rPr>
              <w:t>operacji w zakresie infrastruktury drogowej w zakresie włączenia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0115B7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586C24"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0A0A11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6C6D4B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1E7093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  <w:tr w:rsidR="001E7093" w:rsidRPr="005E4388" w:rsidTr="00D40567">
        <w:trPr>
          <w:trHeight w:val="126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093" w:rsidRDefault="006D4135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  <w:r w:rsidR="001E709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7093" w:rsidRDefault="001E7093" w:rsidP="00965D8F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</w:t>
            </w:r>
            <w:r w:rsidR="00582D2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82D2E" w:rsidRDefault="00D40567" w:rsidP="006D4135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Długość wybudowanych </w:t>
            </w:r>
            <w:r w:rsidR="006D4135"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przebudowanych </w:t>
            </w:r>
            <w:r w:rsidR="006D4135">
              <w:rPr>
                <w:rFonts w:ascii="Times New Roman" w:hAnsi="Times New Roman"/>
                <w:sz w:val="18"/>
                <w:szCs w:val="18"/>
              </w:rPr>
              <w:t>dróg lokalnych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093" w:rsidRDefault="001E7093" w:rsidP="0036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093" w:rsidRDefault="006C6D4B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="006D41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093" w:rsidRDefault="006C6D4B" w:rsidP="00010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</w:t>
            </w:r>
            <w:r w:rsidR="0001063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093" w:rsidRDefault="00E6092B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012E53" w:rsidRDefault="00012E53" w:rsidP="00D40567">
      <w:pPr>
        <w:jc w:val="center"/>
      </w:pPr>
    </w:p>
    <w:p w:rsidR="008A2A2C" w:rsidRDefault="002D3283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C27B5D"/>
    <w:rsid w:val="00010637"/>
    <w:rsid w:val="000115B7"/>
    <w:rsid w:val="00012E53"/>
    <w:rsid w:val="000657E7"/>
    <w:rsid w:val="000925F7"/>
    <w:rsid w:val="000A0A11"/>
    <w:rsid w:val="000D78D6"/>
    <w:rsid w:val="00151977"/>
    <w:rsid w:val="001B1B8E"/>
    <w:rsid w:val="001E11A6"/>
    <w:rsid w:val="001E7093"/>
    <w:rsid w:val="001F4F60"/>
    <w:rsid w:val="002A3EF6"/>
    <w:rsid w:val="002D3283"/>
    <w:rsid w:val="002D6837"/>
    <w:rsid w:val="002E04DB"/>
    <w:rsid w:val="002E26AF"/>
    <w:rsid w:val="003631A5"/>
    <w:rsid w:val="003A7B5F"/>
    <w:rsid w:val="004520D9"/>
    <w:rsid w:val="00511C1F"/>
    <w:rsid w:val="00530A53"/>
    <w:rsid w:val="00582D2E"/>
    <w:rsid w:val="00586C24"/>
    <w:rsid w:val="005B6CF1"/>
    <w:rsid w:val="005C6F7A"/>
    <w:rsid w:val="005D49BD"/>
    <w:rsid w:val="005F34F4"/>
    <w:rsid w:val="006079EF"/>
    <w:rsid w:val="006579F2"/>
    <w:rsid w:val="006C6D4B"/>
    <w:rsid w:val="006D4135"/>
    <w:rsid w:val="0071205F"/>
    <w:rsid w:val="00737CD4"/>
    <w:rsid w:val="00760B5A"/>
    <w:rsid w:val="008A2A2C"/>
    <w:rsid w:val="008E1A5E"/>
    <w:rsid w:val="00965D8F"/>
    <w:rsid w:val="00967D53"/>
    <w:rsid w:val="009B28E6"/>
    <w:rsid w:val="009F01CF"/>
    <w:rsid w:val="00A048A9"/>
    <w:rsid w:val="00A06024"/>
    <w:rsid w:val="00A137F5"/>
    <w:rsid w:val="00A43FE0"/>
    <w:rsid w:val="00A9528E"/>
    <w:rsid w:val="00AB0C21"/>
    <w:rsid w:val="00AC0FA6"/>
    <w:rsid w:val="00AD6034"/>
    <w:rsid w:val="00AD7A10"/>
    <w:rsid w:val="00B80D2C"/>
    <w:rsid w:val="00B92A4E"/>
    <w:rsid w:val="00BB3945"/>
    <w:rsid w:val="00C27B5D"/>
    <w:rsid w:val="00C81980"/>
    <w:rsid w:val="00C90895"/>
    <w:rsid w:val="00D00B38"/>
    <w:rsid w:val="00D40567"/>
    <w:rsid w:val="00DC10AA"/>
    <w:rsid w:val="00E0659B"/>
    <w:rsid w:val="00E26BA8"/>
    <w:rsid w:val="00E6092B"/>
    <w:rsid w:val="00E64B79"/>
    <w:rsid w:val="00EE2CBB"/>
    <w:rsid w:val="00EF6890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52</cp:revision>
  <cp:lastPrinted>2017-02-28T15:39:00Z</cp:lastPrinted>
  <dcterms:created xsi:type="dcterms:W3CDTF">2016-11-30T08:18:00Z</dcterms:created>
  <dcterms:modified xsi:type="dcterms:W3CDTF">2019-11-06T07:21:00Z</dcterms:modified>
</cp:coreProperties>
</file>