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17005376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7059DD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BA769B">
        <w:rPr>
          <w:sz w:val="18"/>
          <w:szCs w:val="18"/>
        </w:rPr>
        <w:t>1</w:t>
      </w:r>
      <w:r w:rsidRPr="004D0E69">
        <w:rPr>
          <w:sz w:val="18"/>
          <w:szCs w:val="18"/>
        </w:rPr>
        <w:t>/201</w:t>
      </w:r>
      <w:r w:rsidR="00BA769B">
        <w:rPr>
          <w:sz w:val="18"/>
          <w:szCs w:val="18"/>
        </w:rPr>
        <w:t>9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BA769B" w:rsidRPr="0013252A" w:rsidTr="00BA769B">
        <w:trPr>
          <w:trHeight w:val="819"/>
        </w:trPr>
        <w:tc>
          <w:tcPr>
            <w:tcW w:w="3369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A769B" w:rsidRPr="0013252A" w:rsidTr="00BA769B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BA769B" w:rsidRPr="00631536" w:rsidTr="00BA769B">
        <w:trPr>
          <w:trHeight w:val="4650"/>
        </w:trPr>
        <w:tc>
          <w:tcPr>
            <w:tcW w:w="3369" w:type="dxa"/>
          </w:tcPr>
          <w:p w:rsidR="00BA769B" w:rsidRPr="00631536" w:rsidRDefault="00BA769B" w:rsidP="00EC4973">
            <w:pPr>
              <w:rPr>
                <w:b/>
              </w:rPr>
            </w:pPr>
            <w:r w:rsidRPr="00631536">
              <w:t>1. Operacja zakłada</w:t>
            </w:r>
            <w:r w:rsidRPr="00631536">
              <w:rPr>
                <w:b/>
              </w:rPr>
              <w:t xml:space="preserve"> </w:t>
            </w:r>
            <w:r w:rsidRPr="00631536">
              <w:t>utworzenie minimum jednego dodatkowego miejsca pracy powyżej wymaganego minimum</w:t>
            </w:r>
            <w:r w:rsidRPr="00631536">
              <w:rPr>
                <w:b/>
              </w:rPr>
              <w:t>: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6"/>
              </w:numPr>
            </w:pPr>
            <w:r w:rsidRPr="00631536">
              <w:t>Tak - 10 pkt.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134" w:type="dxa"/>
          </w:tcPr>
          <w:p w:rsidR="00BA769B" w:rsidRPr="00631536" w:rsidRDefault="00BA769B" w:rsidP="00EC4973">
            <w:r w:rsidRPr="00631536">
              <w:t>0</w:t>
            </w:r>
          </w:p>
          <w:p w:rsidR="00BA769B" w:rsidRPr="00631536" w:rsidRDefault="00BA769B" w:rsidP="00EC4973">
            <w:r w:rsidRPr="00631536">
              <w:t>lub 10</w:t>
            </w:r>
          </w:p>
        </w:tc>
        <w:tc>
          <w:tcPr>
            <w:tcW w:w="1701" w:type="dxa"/>
          </w:tcPr>
          <w:p w:rsidR="00BA769B" w:rsidRPr="00631536" w:rsidRDefault="00BA769B" w:rsidP="00EC4973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BA769B" w:rsidRPr="00631536" w:rsidRDefault="00BA769B" w:rsidP="00EC4973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zakresem realizacji operacji, a osoba, dla której zostanie utworzone to miejsce pracy, zostanie zatrudniona na </w:t>
            </w:r>
          </w:p>
          <w:p w:rsidR="00BA769B" w:rsidRPr="00631536" w:rsidRDefault="00BA769B" w:rsidP="00EC4973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BA769B" w:rsidRPr="00631536" w:rsidRDefault="00BA769B" w:rsidP="00EC4973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2 lata od dnia wypłaty płatności końcowej</w:t>
            </w:r>
          </w:p>
          <w:p w:rsidR="00BA769B" w:rsidRPr="00631536" w:rsidRDefault="00BA769B" w:rsidP="00EC4973">
            <w:r w:rsidRPr="00631536">
              <w:t>10 pkt. uzyska Wnioskodawca, który w ramach realizowanej operacji utworzy minimum 2 miejsca pracy.</w:t>
            </w:r>
          </w:p>
        </w:tc>
      </w:tr>
      <w:tr w:rsidR="00BA769B" w:rsidRPr="00631536" w:rsidTr="0011233D">
        <w:trPr>
          <w:trHeight w:val="3825"/>
        </w:trPr>
        <w:tc>
          <w:tcPr>
            <w:tcW w:w="3369" w:type="dxa"/>
          </w:tcPr>
          <w:p w:rsidR="00BA769B" w:rsidRPr="00D26B15" w:rsidRDefault="00BA769B" w:rsidP="00EC4973">
            <w:r w:rsidRPr="00D26B15"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BA769B" w:rsidRPr="00D26B15" w:rsidRDefault="00BA769B" w:rsidP="00BA769B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BA769B" w:rsidRPr="00D26B15" w:rsidRDefault="00BA769B" w:rsidP="00BA769B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134" w:type="dxa"/>
          </w:tcPr>
          <w:p w:rsidR="00BA769B" w:rsidRPr="00631536" w:rsidRDefault="00BA769B" w:rsidP="00EC4973">
            <w:r w:rsidRPr="00631536">
              <w:t xml:space="preserve">0 </w:t>
            </w:r>
          </w:p>
          <w:p w:rsidR="00BA769B" w:rsidRPr="00631536" w:rsidRDefault="00BA769B" w:rsidP="00EC4973">
            <w:r w:rsidRPr="00631536">
              <w:t>lub 10</w:t>
            </w:r>
          </w:p>
        </w:tc>
        <w:tc>
          <w:tcPr>
            <w:tcW w:w="1701" w:type="dxa"/>
          </w:tcPr>
          <w:p w:rsidR="00BA769B" w:rsidRPr="00631536" w:rsidRDefault="00BA769B" w:rsidP="00EC4973">
            <w:r w:rsidRPr="00631536">
              <w:t>Informacje zawarte we wniosku o dofinansowanie i biznesplanie / oświadczenie</w:t>
            </w:r>
          </w:p>
        </w:tc>
        <w:tc>
          <w:tcPr>
            <w:tcW w:w="3084" w:type="dxa"/>
            <w:vAlign w:val="center"/>
          </w:tcPr>
          <w:p w:rsidR="00BA769B" w:rsidRPr="00631536" w:rsidRDefault="00BA769B" w:rsidP="00EC4973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BA769B" w:rsidRPr="00631536" w:rsidRDefault="00BA769B" w:rsidP="00BA769B">
            <w:pPr>
              <w:pStyle w:val="Akapitzlist"/>
              <w:numPr>
                <w:ilvl w:val="0"/>
                <w:numId w:val="7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</w:tc>
      </w:tr>
      <w:tr w:rsidR="00BA769B" w:rsidRPr="00631536" w:rsidTr="0011233D">
        <w:trPr>
          <w:trHeight w:val="2267"/>
        </w:trPr>
        <w:tc>
          <w:tcPr>
            <w:tcW w:w="3369" w:type="dxa"/>
          </w:tcPr>
          <w:p w:rsidR="00BA769B" w:rsidRPr="00581B38" w:rsidRDefault="00BA769B" w:rsidP="00EC4973">
            <w:r w:rsidRPr="00581B38">
              <w:lastRenderedPageBreak/>
              <w:t>3. Wnioskodawca jest zameldowany nieprzerwanie na pobyt stały lub czasowy na obszarze LSR od co najmniej 12 miesięcy przed dniem złożenia wniosku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BA769B" w:rsidRPr="00581B38" w:rsidRDefault="00BA769B" w:rsidP="00EC4973">
            <w:r w:rsidRPr="00581B38">
              <w:t xml:space="preserve">0 </w:t>
            </w:r>
          </w:p>
          <w:p w:rsidR="00BA769B" w:rsidRPr="00581B38" w:rsidRDefault="00BA769B" w:rsidP="00EC4973">
            <w:r w:rsidRPr="00581B38">
              <w:t>lub 7</w:t>
            </w:r>
          </w:p>
        </w:tc>
        <w:tc>
          <w:tcPr>
            <w:tcW w:w="1701" w:type="dxa"/>
          </w:tcPr>
          <w:p w:rsidR="00BA769B" w:rsidRPr="00631536" w:rsidRDefault="00BA769B" w:rsidP="00EC4973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BA769B" w:rsidRPr="00631536" w:rsidRDefault="00BA769B" w:rsidP="00EC4973"/>
        </w:tc>
      </w:tr>
      <w:tr w:rsidR="00BA769B" w:rsidRPr="00581B38" w:rsidTr="00BA769B">
        <w:trPr>
          <w:trHeight w:val="5528"/>
        </w:trPr>
        <w:tc>
          <w:tcPr>
            <w:tcW w:w="3369" w:type="dxa"/>
          </w:tcPr>
          <w:p w:rsidR="00BA769B" w:rsidRPr="00581B38" w:rsidRDefault="00BA769B" w:rsidP="00EC4973">
            <w:r w:rsidRPr="00581B38">
              <w:t>4. Operacja przewiduje zastosowanie rozwiązań sprzyjających ochronie środowiska lub klimatu: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1"/>
              </w:numPr>
            </w:pPr>
            <w:r w:rsidRPr="00581B38">
              <w:t>Tak - 5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BA769B" w:rsidRPr="00581B38" w:rsidRDefault="00BA769B" w:rsidP="00EC4973">
            <w:r w:rsidRPr="00581B38">
              <w:t xml:space="preserve">0 </w:t>
            </w:r>
          </w:p>
          <w:p w:rsidR="00BA769B" w:rsidRPr="00581B38" w:rsidRDefault="00BA769B" w:rsidP="00EC4973">
            <w:r w:rsidRPr="00581B38">
              <w:t>lub 5</w:t>
            </w:r>
          </w:p>
        </w:tc>
        <w:tc>
          <w:tcPr>
            <w:tcW w:w="1701" w:type="dxa"/>
          </w:tcPr>
          <w:p w:rsidR="00BA769B" w:rsidRPr="00581B38" w:rsidRDefault="00BA769B" w:rsidP="00EC4973">
            <w:r w:rsidRPr="00581B38">
              <w:t xml:space="preserve">Informacje zawarte we </w:t>
            </w:r>
            <w:r w:rsidRPr="002A5EE9">
              <w:t>wniosku o dofinansowanie i biznesplanie / dokumenty potwierdzające spełnienie kryterium</w:t>
            </w:r>
          </w:p>
        </w:tc>
        <w:tc>
          <w:tcPr>
            <w:tcW w:w="3084" w:type="dxa"/>
          </w:tcPr>
          <w:p w:rsidR="00BA769B" w:rsidRPr="002A5EE9" w:rsidRDefault="00BA769B" w:rsidP="00EC4973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BA769B" w:rsidRPr="002A5EE9" w:rsidRDefault="00BA769B" w:rsidP="00EC4973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BA769B" w:rsidRPr="002A5EE9" w:rsidRDefault="00BA769B" w:rsidP="00EC4973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BA769B" w:rsidRPr="002A5EE9" w:rsidRDefault="00BA769B" w:rsidP="00EC4973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*oficjalne dokumenty wydane przez upoważnione podmioty: dokumenty wystawione przez instytucje, których głównym zakresem działalności jest ochrona środowiska i klimatu (np. RDOŚ, WIOŚ) lub które prowadzą badania w tym </w:t>
            </w:r>
            <w:r w:rsidRPr="002A5EE9">
              <w:rPr>
                <w:spacing w:val="6"/>
              </w:rPr>
              <w:lastRenderedPageBreak/>
              <w:t>zakresie (laboratorium naukowo-badawcze) lub posiadają odpowiedni potencjał naukowy (np. uczelnia wyższa).</w:t>
            </w:r>
          </w:p>
          <w:p w:rsidR="00BA769B" w:rsidRPr="002A5EE9" w:rsidRDefault="00BA769B" w:rsidP="00EC4973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BA769B" w:rsidRPr="00581B38" w:rsidTr="0011233D">
        <w:trPr>
          <w:trHeight w:val="6945"/>
        </w:trPr>
        <w:tc>
          <w:tcPr>
            <w:tcW w:w="3369" w:type="dxa"/>
          </w:tcPr>
          <w:p w:rsidR="00BA769B" w:rsidRPr="00581B38" w:rsidRDefault="00BA769B" w:rsidP="00EC4973">
            <w:r w:rsidRPr="00581B38">
              <w:lastRenderedPageBreak/>
              <w:t>5. Planowana operacja ma znamiona innowacyjności zgodnie z definicją zawartą w LSR: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8"/>
              </w:numPr>
            </w:pPr>
            <w:r w:rsidRPr="00581B38">
              <w:t>Tak - 5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8"/>
              </w:numPr>
            </w:pPr>
            <w:r w:rsidRPr="00581B38">
              <w:t>Nie - 0 pkt.</w:t>
            </w:r>
          </w:p>
          <w:p w:rsidR="00BA769B" w:rsidRPr="00581B38" w:rsidRDefault="00BA769B" w:rsidP="00EC4973">
            <w:pPr>
              <w:rPr>
                <w:b/>
              </w:rPr>
            </w:pPr>
          </w:p>
          <w:p w:rsidR="00BA769B" w:rsidRPr="00581B38" w:rsidRDefault="00BA769B" w:rsidP="00EC4973">
            <w:pPr>
              <w:rPr>
                <w:b/>
              </w:rPr>
            </w:pPr>
            <w:r w:rsidRPr="00581B38">
              <w:rPr>
                <w:b/>
              </w:rPr>
              <w:t>Subiektywna ocena członków Rady</w:t>
            </w:r>
          </w:p>
        </w:tc>
        <w:tc>
          <w:tcPr>
            <w:tcW w:w="1134" w:type="dxa"/>
          </w:tcPr>
          <w:p w:rsidR="00BA769B" w:rsidRPr="00581B38" w:rsidRDefault="00BA769B" w:rsidP="00EC4973">
            <w:r w:rsidRPr="00581B38">
              <w:t xml:space="preserve">0 </w:t>
            </w:r>
          </w:p>
          <w:p w:rsidR="00BA769B" w:rsidRPr="00581B38" w:rsidRDefault="00BA769B" w:rsidP="00EC4973">
            <w:r w:rsidRPr="00581B38">
              <w:t>lub 5</w:t>
            </w:r>
          </w:p>
        </w:tc>
        <w:tc>
          <w:tcPr>
            <w:tcW w:w="1701" w:type="dxa"/>
          </w:tcPr>
          <w:p w:rsidR="00BA769B" w:rsidRPr="00581B38" w:rsidRDefault="00BA769B" w:rsidP="00EC4973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BA769B" w:rsidRPr="002A5EE9" w:rsidRDefault="00BA769B" w:rsidP="00EC4973">
            <w:r w:rsidRPr="002A5EE9">
              <w:t xml:space="preserve">Przez innowacyjność rozumie </w:t>
            </w:r>
          </w:p>
          <w:p w:rsidR="00BA769B" w:rsidRPr="002A5EE9" w:rsidRDefault="00BA769B" w:rsidP="00EC4973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t xml:space="preserve">Ocena innowacyjności stanowi subiektywna ocenę członka Rady na podstawie informacji zawartych we </w:t>
            </w:r>
            <w:proofErr w:type="spellStart"/>
            <w:r w:rsidRPr="002A5EE9">
              <w:t>WoPP</w:t>
            </w:r>
            <w:proofErr w:type="spellEnd"/>
            <w:r w:rsidRPr="002A5EE9">
              <w:t xml:space="preserve"> (w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B.III Opis planowanej operacji </w:t>
            </w:r>
            <w:proofErr w:type="spellStart"/>
            <w:r w:rsidRPr="002A5EE9">
              <w:t>ppkt</w:t>
            </w:r>
            <w:proofErr w:type="spellEnd"/>
            <w:r w:rsidRPr="002A5EE9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BA769B" w:rsidRPr="00631536" w:rsidTr="00BA769B">
        <w:trPr>
          <w:trHeight w:val="6378"/>
        </w:trPr>
        <w:tc>
          <w:tcPr>
            <w:tcW w:w="3369" w:type="dxa"/>
          </w:tcPr>
          <w:p w:rsidR="00BA769B" w:rsidRPr="00581B38" w:rsidRDefault="00BA769B" w:rsidP="00EC4973">
            <w:r w:rsidRPr="00581B38">
              <w:lastRenderedPageBreak/>
              <w:t xml:space="preserve"> 6. Planowana operacja dotyczy następujących działalności*: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9"/>
              </w:numPr>
            </w:pPr>
            <w:r w:rsidRPr="00581B38">
              <w:t>usługi opiekuńcze/edukacyjne nad dziećmi - 3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9"/>
              </w:numPr>
            </w:pPr>
            <w:r w:rsidRPr="00581B38">
              <w:t>usługi opiekuńcze nad osobami starszymi/</w:t>
            </w:r>
            <w:r>
              <w:t xml:space="preserve"> </w:t>
            </w:r>
            <w:r w:rsidRPr="00581B38">
              <w:t>niepełnosprawnymi - 3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9"/>
              </w:numPr>
            </w:pPr>
            <w:r w:rsidRPr="00581B38">
              <w:t xml:space="preserve">usługi związane z branżą turystyczną/ </w:t>
            </w:r>
            <w:proofErr w:type="spellStart"/>
            <w:r w:rsidRPr="00581B38">
              <w:t>okołoturystyczną</w:t>
            </w:r>
            <w:proofErr w:type="spellEnd"/>
            <w:r w:rsidRPr="00581B38">
              <w:t xml:space="preserve"> - 3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9"/>
              </w:numPr>
            </w:pPr>
            <w:r w:rsidRPr="00581B38">
              <w:t>inne - 0 pkt.</w:t>
            </w:r>
          </w:p>
          <w:p w:rsidR="00BA769B" w:rsidRPr="00581B38" w:rsidRDefault="00BA769B" w:rsidP="00EC4973"/>
          <w:p w:rsidR="00BA769B" w:rsidRPr="00581B38" w:rsidRDefault="00BA769B" w:rsidP="00EC4973">
            <w:pPr>
              <w:rPr>
                <w:b/>
              </w:rPr>
            </w:pPr>
            <w:r w:rsidRPr="00581B38">
              <w:rPr>
                <w:b/>
              </w:rPr>
              <w:t>Jest to punktacja rozłączna – maksymalnie za spełnienie kryterium można uzyskać 3 pkt.</w:t>
            </w:r>
          </w:p>
          <w:p w:rsidR="00BA769B" w:rsidRDefault="00BA769B" w:rsidP="00EC4973">
            <w:pPr>
              <w:rPr>
                <w:b/>
              </w:rPr>
            </w:pPr>
          </w:p>
          <w:p w:rsidR="00BA769B" w:rsidRPr="00581B38" w:rsidRDefault="00BA769B" w:rsidP="00EC4973">
            <w:pPr>
              <w:rPr>
                <w:b/>
              </w:rPr>
            </w:pPr>
          </w:p>
          <w:p w:rsidR="00BA769B" w:rsidRPr="002A6382" w:rsidRDefault="00BA769B" w:rsidP="00EC4973">
            <w:r w:rsidRPr="00581B38">
              <w:t xml:space="preserve">*Pomoc na operację jest przyznawana, jeżeli operacja zakłada podjęcie we własnym imieniu działalności, do której </w:t>
            </w:r>
            <w:r w:rsidRPr="002A5EE9">
              <w:t>stosuje się przepisy ustawy z dnia  6 marca 2018r. – Prawo przedsiębiorców</w:t>
            </w:r>
          </w:p>
        </w:tc>
        <w:tc>
          <w:tcPr>
            <w:tcW w:w="1134" w:type="dxa"/>
          </w:tcPr>
          <w:p w:rsidR="00BA769B" w:rsidRDefault="00BA769B" w:rsidP="00EC4973">
            <w:r>
              <w:t xml:space="preserve">0 </w:t>
            </w:r>
          </w:p>
          <w:p w:rsidR="00BA769B" w:rsidRDefault="00BA769B" w:rsidP="00EC4973">
            <w:r>
              <w:t>lub 3</w:t>
            </w:r>
          </w:p>
        </w:tc>
        <w:tc>
          <w:tcPr>
            <w:tcW w:w="1701" w:type="dxa"/>
          </w:tcPr>
          <w:p w:rsidR="00BA769B" w:rsidRPr="000C4ADC" w:rsidRDefault="00BA769B" w:rsidP="00EC4973">
            <w:r w:rsidRPr="000C4ADC">
              <w:t>Informacje zawarte we wniosku o dofinansowanie i biznesplanie</w:t>
            </w:r>
          </w:p>
        </w:tc>
        <w:tc>
          <w:tcPr>
            <w:tcW w:w="3084" w:type="dxa"/>
          </w:tcPr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1) usługi opiekuńcze/ edukacyjne nad dziećmi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79.90.B Działalność w zakresie </w:t>
            </w:r>
            <w:r w:rsidRPr="002A5EE9">
              <w:rPr>
                <w:rFonts w:eastAsia="Times New Roman" w:cs="Arial"/>
              </w:rPr>
              <w:lastRenderedPageBreak/>
              <w:t>informacji turystycznej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BA769B" w:rsidRPr="00631536" w:rsidTr="00BA769B">
        <w:trPr>
          <w:trHeight w:val="3730"/>
        </w:trPr>
        <w:tc>
          <w:tcPr>
            <w:tcW w:w="3369" w:type="dxa"/>
          </w:tcPr>
          <w:p w:rsidR="00BA769B" w:rsidRPr="00581B38" w:rsidRDefault="00BA769B" w:rsidP="00EC4973">
            <w:r w:rsidRPr="00581B38">
              <w:lastRenderedPageBreak/>
              <w:t>7. Operacja uwzględnia działania promocyjne - informacja o dofinansowaniu operacji ze środków LSR, zgodnie z wytycznymi zawartymi w LSR: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3"/>
              </w:numPr>
            </w:pPr>
            <w:r w:rsidRPr="00581B38">
              <w:t>TAK  - 3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BA769B" w:rsidRDefault="00BA769B" w:rsidP="00EC4973">
            <w:r>
              <w:t xml:space="preserve">0 </w:t>
            </w:r>
          </w:p>
          <w:p w:rsidR="00BA769B" w:rsidRDefault="00BA769B" w:rsidP="00EC4973">
            <w:r>
              <w:t>lub 3</w:t>
            </w:r>
          </w:p>
        </w:tc>
        <w:tc>
          <w:tcPr>
            <w:tcW w:w="1701" w:type="dxa"/>
          </w:tcPr>
          <w:p w:rsidR="00BA769B" w:rsidRDefault="00BA769B" w:rsidP="00EC4973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BA769B" w:rsidRPr="002A5EE9" w:rsidRDefault="00BA769B" w:rsidP="00EC4973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podrozdziałem 5.2 Opis przedsięwzięć , str.  52-53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 xml:space="preserve">). Ewentualne koszty promocji uwzględnione w opisie operacji są kosztami </w:t>
            </w:r>
            <w:proofErr w:type="spellStart"/>
            <w:r w:rsidRPr="002A5EE9">
              <w:rPr>
                <w:rFonts w:eastAsia="Times New Roman" w:cs="Arial"/>
              </w:rPr>
              <w:t>niekwalifikowalnymi</w:t>
            </w:r>
            <w:proofErr w:type="spellEnd"/>
            <w:r w:rsidRPr="002A5EE9">
              <w:rPr>
                <w:rFonts w:eastAsia="Times New Roman" w:cs="Arial"/>
              </w:rPr>
              <w:t>.</w:t>
            </w:r>
          </w:p>
        </w:tc>
      </w:tr>
      <w:tr w:rsidR="00BA769B" w:rsidRPr="00631536" w:rsidTr="00BA769B">
        <w:trPr>
          <w:trHeight w:val="1559"/>
        </w:trPr>
        <w:tc>
          <w:tcPr>
            <w:tcW w:w="3369" w:type="dxa"/>
            <w:tcBorders>
              <w:bottom w:val="single" w:sz="4" w:space="0" w:color="auto"/>
            </w:tcBorders>
          </w:tcPr>
          <w:p w:rsidR="00BA769B" w:rsidRPr="00581B38" w:rsidRDefault="00BA769B" w:rsidP="00EC4973">
            <w:r w:rsidRPr="00581B38">
              <w:t>8. Wnioskodawca korzystał z doradztwa Biura LGD na etapie przygotowania wniosku o przyznanie pomocy: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3"/>
              </w:numPr>
            </w:pPr>
            <w:r w:rsidRPr="00581B38">
              <w:t>TAK  - 5 pkt.</w:t>
            </w:r>
          </w:p>
          <w:p w:rsidR="00BA769B" w:rsidRPr="00581B38" w:rsidRDefault="00BA769B" w:rsidP="00BA769B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769B" w:rsidRPr="00581B38" w:rsidRDefault="00BA769B" w:rsidP="00EC4973">
            <w:r w:rsidRPr="00581B38">
              <w:t>0</w:t>
            </w:r>
          </w:p>
          <w:p w:rsidR="00BA769B" w:rsidRPr="00581B38" w:rsidRDefault="00BA769B" w:rsidP="00EC4973">
            <w:r w:rsidRPr="00581B38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69B" w:rsidRPr="00631536" w:rsidRDefault="00BA769B" w:rsidP="00EC4973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A769B" w:rsidRPr="00631536" w:rsidRDefault="00BA769B" w:rsidP="00EC4973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BA769B" w:rsidRPr="00631536" w:rsidRDefault="00BA769B" w:rsidP="00EC4973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BA769B" w:rsidRPr="00631536" w:rsidRDefault="00BA769B" w:rsidP="00EC4973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2) świadczonego w okresie od dnia zamieszczenia ogłoszenia o </w:t>
            </w:r>
            <w:r w:rsidRPr="00631536">
              <w:rPr>
                <w:lang w:eastAsia="ar-SA"/>
              </w:rPr>
              <w:lastRenderedPageBreak/>
              <w:t>naborze wniosków na dany zakres tematyczny na stronie internetowej LGD i nie później niż 2 dni przed końcem naboru wniosków.</w:t>
            </w:r>
          </w:p>
        </w:tc>
      </w:tr>
      <w:tr w:rsidR="00BA769B" w:rsidTr="00BA769B">
        <w:trPr>
          <w:trHeight w:val="404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BA769B" w:rsidRPr="00581B38" w:rsidRDefault="00BA769B" w:rsidP="00BA769B">
            <w:pPr>
              <w:rPr>
                <w:b/>
              </w:rPr>
            </w:pPr>
            <w:r w:rsidRPr="00581B38">
              <w:rPr>
                <w:b/>
              </w:rPr>
              <w:lastRenderedPageBreak/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A769B" w:rsidRPr="00581B38" w:rsidRDefault="00BA769B" w:rsidP="00BA769B">
            <w:pPr>
              <w:rPr>
                <w:b/>
              </w:rPr>
            </w:pPr>
            <w:r w:rsidRPr="00581B38">
              <w:rPr>
                <w:b/>
              </w:rPr>
              <w:t>48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A769B" w:rsidRDefault="00BA769B" w:rsidP="00EC4973"/>
        </w:tc>
        <w:tc>
          <w:tcPr>
            <w:tcW w:w="3084" w:type="dxa"/>
            <w:shd w:val="clear" w:color="auto" w:fill="C6D9F1" w:themeFill="text2" w:themeFillTint="33"/>
          </w:tcPr>
          <w:p w:rsidR="00BA769B" w:rsidRDefault="00BA769B" w:rsidP="00EC4973"/>
        </w:tc>
      </w:tr>
      <w:tr w:rsidR="00BA769B" w:rsidTr="00BA769B">
        <w:trPr>
          <w:trHeight w:val="410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BA769B" w:rsidRPr="00581B38" w:rsidRDefault="00BA769B" w:rsidP="00BA769B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A769B" w:rsidRPr="00581B38" w:rsidRDefault="00BA769B" w:rsidP="00BA769B">
            <w:pPr>
              <w:rPr>
                <w:b/>
              </w:rPr>
            </w:pPr>
            <w:r w:rsidRPr="00581B38">
              <w:rPr>
                <w:b/>
              </w:rPr>
              <w:t>24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A769B" w:rsidRDefault="00BA769B" w:rsidP="00EC4973"/>
        </w:tc>
        <w:tc>
          <w:tcPr>
            <w:tcW w:w="3084" w:type="dxa"/>
            <w:shd w:val="clear" w:color="auto" w:fill="C6D9F1" w:themeFill="text2" w:themeFillTint="33"/>
          </w:tcPr>
          <w:p w:rsidR="00BA769B" w:rsidRDefault="00BA769B" w:rsidP="00EC4973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8F5688"/>
    <w:rsid w:val="00915C57"/>
    <w:rsid w:val="0094610D"/>
    <w:rsid w:val="009D174E"/>
    <w:rsid w:val="00A545AE"/>
    <w:rsid w:val="00AC4EB0"/>
    <w:rsid w:val="00BA769B"/>
    <w:rsid w:val="00BB12C0"/>
    <w:rsid w:val="00C00729"/>
    <w:rsid w:val="00C6765E"/>
    <w:rsid w:val="00C827D8"/>
    <w:rsid w:val="00CD20DC"/>
    <w:rsid w:val="00D06489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1140</Words>
  <Characters>6844</Characters>
  <Application>Microsoft Office Word</Application>
  <DocSecurity>0</DocSecurity>
  <Lines>57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35</cp:revision>
  <cp:lastPrinted>2016-11-30T08:31:00Z</cp:lastPrinted>
  <dcterms:created xsi:type="dcterms:W3CDTF">2016-11-22T12:48:00Z</dcterms:created>
  <dcterms:modified xsi:type="dcterms:W3CDTF">2019-04-17T09:23:00Z</dcterms:modified>
</cp:coreProperties>
</file>